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0C3" w:rsidRPr="00A420C3" w:rsidRDefault="00A420C3" w:rsidP="00A420C3">
      <w:pPr>
        <w:autoSpaceDE w:val="0"/>
        <w:autoSpaceDN w:val="0"/>
        <w:spacing w:line="240" w:lineRule="atLeast"/>
        <w:jc w:val="center"/>
        <w:rPr>
          <w:rFonts w:ascii="Garamond" w:hAnsi="Garamond"/>
          <w:sz w:val="22"/>
          <w:szCs w:val="22"/>
          <w:u w:val="single"/>
        </w:rPr>
      </w:pPr>
      <w:bookmarkStart w:id="0" w:name="_GoBack"/>
      <w:r>
        <w:rPr>
          <w:rFonts w:ascii="Garamond" w:hAnsi="Garamond"/>
          <w:b/>
          <w:bCs/>
          <w:sz w:val="22"/>
          <w:szCs w:val="22"/>
          <w:u w:val="single"/>
        </w:rPr>
        <w:t xml:space="preserve">Press Release </w:t>
      </w:r>
      <w:r w:rsidRPr="00A420C3">
        <w:rPr>
          <w:rFonts w:ascii="Garamond" w:hAnsi="Garamond"/>
          <w:b/>
          <w:bCs/>
          <w:sz w:val="22"/>
          <w:szCs w:val="22"/>
          <w:u w:val="single"/>
        </w:rPr>
        <w:t>APEC, World Bank sign agreement to boost food safety</w:t>
      </w:r>
    </w:p>
    <w:bookmarkEnd w:id="0"/>
    <w:p w:rsidR="00A420C3" w:rsidRPr="00A420C3" w:rsidRDefault="00A420C3" w:rsidP="00A420C3">
      <w:pPr>
        <w:autoSpaceDE w:val="0"/>
        <w:autoSpaceDN w:val="0"/>
        <w:spacing w:line="240" w:lineRule="atLeast"/>
        <w:jc w:val="center"/>
        <w:rPr>
          <w:rFonts w:ascii="Garamond" w:hAnsi="Garamond"/>
          <w:sz w:val="22"/>
          <w:szCs w:val="22"/>
          <w:u w:val="single"/>
        </w:rPr>
      </w:pPr>
    </w:p>
    <w:p w:rsidR="00A420C3" w:rsidRPr="00A420C3" w:rsidRDefault="00A420C3" w:rsidP="00A420C3">
      <w:pPr>
        <w:pStyle w:val="Heading3"/>
        <w:rPr>
          <w:rFonts w:ascii="Garamond" w:eastAsia="Times New Roman" w:hAnsi="Garamond"/>
          <w:sz w:val="22"/>
          <w:szCs w:val="22"/>
        </w:rPr>
      </w:pPr>
      <w:r w:rsidRPr="00A420C3">
        <w:rPr>
          <w:rFonts w:ascii="Garamond" w:eastAsia="Times New Roman" w:hAnsi="Garamond"/>
          <w:color w:val="000000"/>
          <w:sz w:val="22"/>
          <w:szCs w:val="22"/>
        </w:rPr>
        <w:t xml:space="preserve">Issued by </w:t>
      </w:r>
      <w:r w:rsidRPr="00A420C3">
        <w:rPr>
          <w:rFonts w:ascii="Garamond" w:eastAsia="Times New Roman" w:hAnsi="Garamond"/>
          <w:color w:val="auto"/>
          <w:sz w:val="22"/>
          <w:szCs w:val="22"/>
        </w:rPr>
        <w:t>the APEC Sub-Committee on Standards and Conformance’s Food Safety Cooperation Forum</w:t>
      </w:r>
    </w:p>
    <w:p w:rsidR="00A420C3" w:rsidRPr="00A420C3" w:rsidRDefault="00A420C3" w:rsidP="00A420C3">
      <w:pPr>
        <w:rPr>
          <w:rFonts w:ascii="Garamond" w:eastAsiaTheme="minorHAnsi" w:hAnsi="Garamond"/>
          <w:sz w:val="22"/>
          <w:szCs w:val="22"/>
        </w:rPr>
      </w:pPr>
      <w:r w:rsidRPr="00A420C3">
        <w:rPr>
          <w:rFonts w:ascii="Garamond" w:hAnsi="Garamond"/>
          <w:i/>
          <w:iCs/>
          <w:sz w:val="22"/>
          <w:szCs w:val="22"/>
        </w:rPr>
        <w:t> </w:t>
      </w:r>
    </w:p>
    <w:p w:rsidR="00A420C3" w:rsidRPr="00A420C3" w:rsidRDefault="00A420C3" w:rsidP="00A420C3">
      <w:pPr>
        <w:rPr>
          <w:rFonts w:ascii="Garamond" w:hAnsi="Garamond"/>
          <w:sz w:val="22"/>
          <w:szCs w:val="22"/>
        </w:rPr>
      </w:pPr>
      <w:r w:rsidRPr="00A420C3">
        <w:rPr>
          <w:rFonts w:ascii="Garamond" w:hAnsi="Garamond"/>
          <w:i/>
          <w:iCs/>
          <w:sz w:val="22"/>
          <w:szCs w:val="22"/>
        </w:rPr>
        <w:t>Big Sky, Montana, 18 May 2011</w:t>
      </w:r>
      <w:r w:rsidRPr="00A420C3">
        <w:rPr>
          <w:rFonts w:ascii="Garamond" w:hAnsi="Garamond"/>
          <w:sz w:val="22"/>
          <w:szCs w:val="22"/>
        </w:rPr>
        <w:t xml:space="preserve"> – APEC and the World Bank today signed a memorandum of understanding to strengthen collaboration on food safety in the Asia-Pacific region, which accounts for over 40 percent of the world’s population and nearly half of global food production.</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 xml:space="preserve">The APEC Sub-Committee on Standards and Conformance’s Food Safety Cooperation Forum and the World Bank will work together closely on training programs to improve food safety standards and practices in the region, as well as to facilitate trade. </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 xml:space="preserve">The programs will enable more growers, producers and food safety officials to understand and </w:t>
      </w:r>
      <w:proofErr w:type="spellStart"/>
      <w:r w:rsidRPr="00A420C3">
        <w:rPr>
          <w:rFonts w:ascii="Garamond" w:hAnsi="Garamond"/>
          <w:sz w:val="22"/>
          <w:szCs w:val="22"/>
        </w:rPr>
        <w:t>utilise</w:t>
      </w:r>
      <w:proofErr w:type="spellEnd"/>
      <w:r w:rsidRPr="00A420C3">
        <w:rPr>
          <w:rFonts w:ascii="Garamond" w:hAnsi="Garamond"/>
          <w:sz w:val="22"/>
          <w:szCs w:val="22"/>
        </w:rPr>
        <w:t xml:space="preserve"> preventative controls – resulting in safer food for consumers and fewer safety incidents in food trade.</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Style w:val="bodytext0"/>
          <w:rFonts w:ascii="Garamond" w:hAnsi="Garamond"/>
          <w:sz w:val="22"/>
          <w:szCs w:val="22"/>
        </w:rPr>
        <w:t xml:space="preserve">“Food trade is increasingly becoming a global issue with complex and inter-related supply chains, which raises the need to address the question of food safety,” said APEC Secretariat Executive Director, Ambassador </w:t>
      </w:r>
      <w:proofErr w:type="spellStart"/>
      <w:r w:rsidRPr="00A420C3">
        <w:rPr>
          <w:rStyle w:val="bodytext0"/>
          <w:rFonts w:ascii="Garamond" w:hAnsi="Garamond"/>
          <w:sz w:val="22"/>
          <w:szCs w:val="22"/>
        </w:rPr>
        <w:t>Muhamad</w:t>
      </w:r>
      <w:proofErr w:type="spellEnd"/>
      <w:r w:rsidRPr="00A420C3">
        <w:rPr>
          <w:rStyle w:val="bodytext0"/>
          <w:rFonts w:ascii="Garamond" w:hAnsi="Garamond"/>
          <w:sz w:val="22"/>
          <w:szCs w:val="22"/>
        </w:rPr>
        <w:t xml:space="preserve"> Noor.</w:t>
      </w:r>
    </w:p>
    <w:p w:rsidR="00A420C3" w:rsidRPr="00A420C3" w:rsidRDefault="00A420C3" w:rsidP="00A420C3">
      <w:pPr>
        <w:rPr>
          <w:rFonts w:ascii="Garamond" w:hAnsi="Garamond"/>
          <w:sz w:val="22"/>
          <w:szCs w:val="22"/>
        </w:rPr>
      </w:pPr>
      <w:r w:rsidRPr="00A420C3">
        <w:rPr>
          <w:rStyle w:val="bodytext0"/>
          <w:rFonts w:ascii="Garamond" w:hAnsi="Garamond"/>
          <w:sz w:val="22"/>
          <w:szCs w:val="22"/>
        </w:rPr>
        <w:t> </w:t>
      </w:r>
    </w:p>
    <w:p w:rsidR="00A420C3" w:rsidRPr="00A420C3" w:rsidRDefault="00A420C3" w:rsidP="00A420C3">
      <w:pPr>
        <w:rPr>
          <w:rFonts w:ascii="Garamond" w:hAnsi="Garamond"/>
          <w:sz w:val="22"/>
          <w:szCs w:val="22"/>
        </w:rPr>
      </w:pPr>
      <w:r w:rsidRPr="00A420C3">
        <w:rPr>
          <w:rStyle w:val="bodytext0"/>
          <w:rFonts w:ascii="Garamond" w:hAnsi="Garamond"/>
          <w:sz w:val="22"/>
          <w:szCs w:val="22"/>
        </w:rPr>
        <w:t xml:space="preserve">Ambassador Noor added that global and regional cooperation on building the capacity of regulatory systems is </w:t>
      </w:r>
      <w:proofErr w:type="gramStart"/>
      <w:r w:rsidRPr="00A420C3">
        <w:rPr>
          <w:rStyle w:val="bodytext0"/>
          <w:rFonts w:ascii="Garamond" w:hAnsi="Garamond"/>
          <w:sz w:val="22"/>
          <w:szCs w:val="22"/>
        </w:rPr>
        <w:t>key</w:t>
      </w:r>
      <w:proofErr w:type="gramEnd"/>
      <w:r w:rsidRPr="00A420C3">
        <w:rPr>
          <w:rStyle w:val="bodytext0"/>
          <w:rFonts w:ascii="Garamond" w:hAnsi="Garamond"/>
          <w:sz w:val="22"/>
          <w:szCs w:val="22"/>
        </w:rPr>
        <w:t xml:space="preserve"> to reducing food incidents and boosting trust in trade. This enhances domestic commerce and export markets. </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 xml:space="preserve">"More widespread movement of food and livestock around the world requires vigilance on food safety and disease risk," said </w:t>
      </w:r>
      <w:proofErr w:type="spellStart"/>
      <w:r w:rsidRPr="00A420C3">
        <w:rPr>
          <w:rFonts w:ascii="Garamond" w:hAnsi="Garamond"/>
          <w:sz w:val="22"/>
          <w:szCs w:val="22"/>
        </w:rPr>
        <w:t>Inger</w:t>
      </w:r>
      <w:proofErr w:type="spellEnd"/>
      <w:r w:rsidRPr="00A420C3">
        <w:rPr>
          <w:rFonts w:ascii="Garamond" w:hAnsi="Garamond"/>
          <w:sz w:val="22"/>
          <w:szCs w:val="22"/>
        </w:rPr>
        <w:t xml:space="preserve"> Andersen, World Bank Vice President for Sustainable Development. "More exacting standards pose challenges to poor farmers competing in these growing markets."</w:t>
      </w:r>
      <w:r w:rsidRPr="00A420C3">
        <w:rPr>
          <w:rFonts w:ascii="Garamond" w:hAnsi="Garamond"/>
          <w:sz w:val="22"/>
          <w:szCs w:val="22"/>
        </w:rPr>
        <w:br/>
      </w:r>
      <w:r w:rsidRPr="00A420C3">
        <w:rPr>
          <w:rFonts w:ascii="Garamond" w:hAnsi="Garamond"/>
          <w:sz w:val="22"/>
          <w:szCs w:val="22"/>
        </w:rPr>
        <w:br/>
        <w:t>Signing the MOU with APEC today, Andersen said, "Food safety is an increasingly significant part of the World Bank’s lending and technical assistance programs in East Asia and the Pacific, as well as in other regions. We are extremely pleased to be working with APEC to bring more attention to this critical issue. This new agreement will strengthen our joint efforts to mobilize resources and promote and support capacity building to better ensure food safety concerns," she said.</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proofErr w:type="spellStart"/>
      <w:r w:rsidRPr="00A420C3">
        <w:rPr>
          <w:rFonts w:ascii="Garamond" w:hAnsi="Garamond"/>
          <w:sz w:val="22"/>
          <w:szCs w:val="22"/>
        </w:rPr>
        <w:t>Ms</w:t>
      </w:r>
      <w:proofErr w:type="spellEnd"/>
      <w:r w:rsidRPr="00A420C3">
        <w:rPr>
          <w:rFonts w:ascii="Garamond" w:hAnsi="Garamond"/>
          <w:sz w:val="22"/>
          <w:szCs w:val="22"/>
        </w:rPr>
        <w:t xml:space="preserve"> Andersen and the co-chairs of the APEC Food Safety Cooperation Forum, Steve McCutcheon from Australia and Lin Wei from China, signed the MOU in the margins of a series of APEC meetings currently underway in Big Sky, Montana. </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 xml:space="preserve">“The MOU opens the way for an </w:t>
      </w:r>
      <w:proofErr w:type="spellStart"/>
      <w:r w:rsidRPr="00A420C3">
        <w:rPr>
          <w:rFonts w:ascii="Garamond" w:hAnsi="Garamond"/>
          <w:sz w:val="22"/>
          <w:szCs w:val="22"/>
        </w:rPr>
        <w:t>upscaling</w:t>
      </w:r>
      <w:proofErr w:type="spellEnd"/>
      <w:r w:rsidRPr="00A420C3">
        <w:rPr>
          <w:rFonts w:ascii="Garamond" w:hAnsi="Garamond"/>
          <w:sz w:val="22"/>
          <w:szCs w:val="22"/>
        </w:rPr>
        <w:t xml:space="preserve"> of food safety capacity building in the region,” said McCutcheon and Lin in a joint statement. </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APEC Trade Ministers and Small and Medium Enterprise Ministers meet from May 19-21 in Big Sky, focusing on APEC’s 2011 agenda to further advance free and open trade in the region.</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The APEC Food Safety Cooperation Forum was established to bring together food safety regulators to develop a food safety framework and strategy and to carry out capacity building programs in this important area.</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 xml:space="preserve">The memorandum of understanding is part of APEC’s agenda to strengthen food security in the diverse region, home to about one quarter of the world’s undernourished people. The region also </w:t>
      </w:r>
      <w:r w:rsidRPr="00A420C3">
        <w:rPr>
          <w:rStyle w:val="bodytext0"/>
          <w:rFonts w:ascii="Garamond" w:hAnsi="Garamond"/>
          <w:sz w:val="22"/>
          <w:szCs w:val="22"/>
        </w:rPr>
        <w:t>accounts for half of world grain production and includes major exporters and importers of agricultural products.</w:t>
      </w:r>
    </w:p>
    <w:p w:rsidR="00A420C3" w:rsidRPr="00A420C3" w:rsidRDefault="00A420C3" w:rsidP="00A420C3">
      <w:pPr>
        <w:rPr>
          <w:rFonts w:ascii="Garamond" w:hAnsi="Garamond"/>
          <w:sz w:val="22"/>
          <w:szCs w:val="22"/>
        </w:rPr>
      </w:pPr>
      <w:r w:rsidRPr="00A420C3">
        <w:rPr>
          <w:rFonts w:ascii="Garamond" w:hAnsi="Garamond"/>
          <w:sz w:val="22"/>
          <w:szCs w:val="22"/>
        </w:rPr>
        <w:t> </w:t>
      </w:r>
    </w:p>
    <w:p w:rsidR="00A420C3" w:rsidRPr="00A420C3" w:rsidRDefault="00A420C3" w:rsidP="00A420C3">
      <w:pPr>
        <w:rPr>
          <w:rFonts w:ascii="Garamond" w:hAnsi="Garamond"/>
          <w:sz w:val="22"/>
          <w:szCs w:val="22"/>
        </w:rPr>
      </w:pPr>
      <w:r w:rsidRPr="00A420C3">
        <w:rPr>
          <w:rFonts w:ascii="Garamond" w:hAnsi="Garamond"/>
          <w:sz w:val="22"/>
          <w:szCs w:val="22"/>
        </w:rPr>
        <w:t xml:space="preserve">APEC held its first APEC Ministerial Meeting on Food Security last October in Niigata, Japan, and committed to </w:t>
      </w:r>
      <w:r w:rsidRPr="00A420C3">
        <w:rPr>
          <w:rStyle w:val="bodytext0"/>
          <w:rFonts w:ascii="Garamond" w:hAnsi="Garamond"/>
          <w:sz w:val="22"/>
          <w:szCs w:val="22"/>
        </w:rPr>
        <w:t>focus on raising agricultural productivity, facilitating trade and investment and expanding markets.</w:t>
      </w:r>
    </w:p>
    <w:p w:rsidR="00965A15" w:rsidRPr="00C44756" w:rsidRDefault="00965A15" w:rsidP="007D77B1">
      <w:pPr>
        <w:rPr>
          <w:bCs/>
          <w:sz w:val="22"/>
        </w:rPr>
      </w:pPr>
    </w:p>
    <w:sectPr w:rsidR="00965A15" w:rsidRPr="00C44756" w:rsidSect="00DD0719">
      <w:headerReference w:type="default" r:id="rId8"/>
      <w:footerReference w:type="default" r:id="rId9"/>
      <w:endnotePr>
        <w:numFmt w:val="decimal"/>
      </w:endnotePr>
      <w:pgSz w:w="12240" w:h="15840" w:code="1"/>
      <w:pgMar w:top="360" w:right="806" w:bottom="1080" w:left="806" w:header="36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DB1" w:rsidRDefault="00284DB1">
      <w:r>
        <w:separator/>
      </w:r>
    </w:p>
  </w:endnote>
  <w:endnote w:type="continuationSeparator" w:id="0">
    <w:p w:rsidR="00284DB1" w:rsidRDefault="00284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B1" w:rsidRPr="009C5C21" w:rsidRDefault="007D77B1" w:rsidP="00C44756">
    <w:pPr>
      <w:pStyle w:val="Footer"/>
      <w:pBdr>
        <w:top w:val="single" w:sz="4" w:space="0" w:color="auto"/>
      </w:pBdr>
      <w:jc w:val="center"/>
      <w:rPr>
        <w:sz w:val="16"/>
        <w:szCs w:val="16"/>
      </w:rPr>
    </w:pPr>
    <w:smartTag w:uri="urn:schemas-microsoft-com:office:smarttags" w:element="Street">
      <w:r>
        <w:rPr>
          <w:smallCaps/>
          <w:sz w:val="16"/>
          <w:szCs w:val="16"/>
        </w:rPr>
        <w:t>500 Union Street</w:t>
      </w:r>
      <w:r w:rsidRPr="009C5C21">
        <w:rPr>
          <w:smallCaps/>
          <w:sz w:val="16"/>
          <w:szCs w:val="16"/>
        </w:rPr>
        <w:t xml:space="preserve">, Suite </w:t>
      </w:r>
      <w:r>
        <w:rPr>
          <w:smallCaps/>
          <w:sz w:val="16"/>
          <w:szCs w:val="16"/>
        </w:rPr>
        <w:t>30</w:t>
      </w:r>
      <w:r w:rsidRPr="009C5C21">
        <w:rPr>
          <w:smallCaps/>
          <w:sz w:val="16"/>
          <w:szCs w:val="16"/>
        </w:rPr>
        <w:t>0</w:t>
      </w:r>
    </w:smartTag>
    <w:r w:rsidRPr="009C5C21">
      <w:rPr>
        <w:smallCaps/>
        <w:sz w:val="16"/>
        <w:szCs w:val="16"/>
      </w:rPr>
      <w:t xml:space="preserve">  </w:t>
    </w:r>
    <w:r w:rsidRPr="009C5C21">
      <w:rPr>
        <w:smallCaps/>
        <w:sz w:val="16"/>
        <w:szCs w:val="16"/>
      </w:rPr>
      <w:sym w:font="Wingdings" w:char="F077"/>
    </w:r>
    <w:r w:rsidRPr="009C5C21">
      <w:rPr>
        <w:smallCaps/>
        <w:sz w:val="16"/>
        <w:szCs w:val="16"/>
      </w:rPr>
      <w:t xml:space="preserve">  </w:t>
    </w:r>
    <w:smartTag w:uri="urn:schemas-microsoft-com:office:smarttags" w:element="City">
      <w:r w:rsidRPr="009C5C21">
        <w:rPr>
          <w:smallCaps/>
          <w:sz w:val="16"/>
          <w:szCs w:val="16"/>
        </w:rPr>
        <w:t>Seattle</w:t>
      </w:r>
    </w:smartTag>
    <w:r w:rsidRPr="009C5C21">
      <w:rPr>
        <w:smallCaps/>
        <w:sz w:val="16"/>
        <w:szCs w:val="16"/>
      </w:rPr>
      <w:t xml:space="preserve">, </w:t>
    </w:r>
    <w:smartTag w:uri="urn:schemas-microsoft-com:office:smarttags" w:element="State">
      <w:r w:rsidRPr="009C5C21">
        <w:rPr>
          <w:smallCaps/>
          <w:sz w:val="16"/>
          <w:szCs w:val="16"/>
        </w:rPr>
        <w:t>WA</w:t>
      </w:r>
    </w:smartTag>
    <w:r>
      <w:rPr>
        <w:smallCaps/>
        <w:sz w:val="16"/>
        <w:szCs w:val="16"/>
      </w:rPr>
      <w:t xml:space="preserve">  98101-</w:t>
    </w:r>
    <w:proofErr w:type="gramStart"/>
    <w:r>
      <w:rPr>
        <w:smallCaps/>
        <w:sz w:val="16"/>
        <w:szCs w:val="16"/>
      </w:rPr>
      <w:t>4035</w:t>
    </w:r>
    <w:r w:rsidRPr="009C5C21">
      <w:rPr>
        <w:smallCaps/>
        <w:sz w:val="16"/>
        <w:szCs w:val="16"/>
      </w:rPr>
      <w:t xml:space="preserve">  USA</w:t>
    </w:r>
    <w:proofErr w:type="gramEnd"/>
    <w:r w:rsidRPr="009C5C21">
      <w:rPr>
        <w:smallCaps/>
        <w:sz w:val="16"/>
        <w:szCs w:val="16"/>
      </w:rPr>
      <w:t xml:space="preserve">  </w:t>
    </w:r>
    <w:r w:rsidRPr="009C5C21">
      <w:rPr>
        <w:smallCaps/>
        <w:sz w:val="16"/>
        <w:szCs w:val="16"/>
      </w:rPr>
      <w:sym w:font="Wingdings" w:char="F077"/>
    </w:r>
    <w:r w:rsidRPr="009C5C21">
      <w:rPr>
        <w:smallCaps/>
        <w:sz w:val="16"/>
        <w:szCs w:val="16"/>
      </w:rPr>
      <w:t xml:space="preserve">  Telephone: </w:t>
    </w:r>
    <w:smartTag w:uri="urn:schemas-microsoft-com:office:smarttags" w:element="phone">
      <w:smartTagPr>
        <w:attr w:name="phonenumber" w:val="$6441$$$"/>
        <w:attr w:uri="urn:schemas-microsoft-com:office:office" w:name="ls" w:val="trans"/>
      </w:smartTagPr>
      <w:r w:rsidRPr="009C5C21">
        <w:rPr>
          <w:smallCaps/>
          <w:sz w:val="16"/>
          <w:szCs w:val="16"/>
        </w:rPr>
        <w:t>206-441-9022</w:t>
      </w:r>
    </w:smartTag>
    <w:r w:rsidRPr="009C5C21">
      <w:rPr>
        <w:smallCaps/>
        <w:sz w:val="16"/>
        <w:szCs w:val="16"/>
      </w:rPr>
      <w:t xml:space="preserve">  </w:t>
    </w:r>
    <w:r w:rsidRPr="009C5C21">
      <w:rPr>
        <w:smallCaps/>
        <w:sz w:val="16"/>
        <w:szCs w:val="16"/>
      </w:rPr>
      <w:sym w:font="Wingdings" w:char="F077"/>
    </w:r>
    <w:r w:rsidRPr="009C5C21">
      <w:rPr>
        <w:smallCaps/>
        <w:sz w:val="16"/>
        <w:szCs w:val="16"/>
      </w:rPr>
      <w:t xml:space="preserve">  Fax: </w:t>
    </w:r>
    <w:smartTag w:uri="urn:schemas-microsoft-com:office:smarttags" w:element="phone">
      <w:smartTagPr>
        <w:attr w:name="phonenumber" w:val="$6441$$$"/>
        <w:attr w:uri="urn:schemas-microsoft-com:office:office" w:name="ls" w:val="trans"/>
      </w:smartTagPr>
      <w:r w:rsidRPr="009C5C21">
        <w:rPr>
          <w:smallCaps/>
          <w:sz w:val="16"/>
          <w:szCs w:val="16"/>
        </w:rPr>
        <w:t>206-441-1006</w:t>
      </w:r>
    </w:smartTag>
    <w:r w:rsidRPr="009C5C21">
      <w:rPr>
        <w:smallCaps/>
        <w:sz w:val="16"/>
        <w:szCs w:val="16"/>
      </w:rPr>
      <w:t xml:space="preserve">  </w:t>
    </w:r>
    <w:r w:rsidRPr="009C5C21">
      <w:rPr>
        <w:smallCaps/>
        <w:sz w:val="16"/>
        <w:szCs w:val="16"/>
      </w:rPr>
      <w:sym w:font="Wingdings" w:char="F077"/>
    </w:r>
    <w:r w:rsidRPr="009C5C21">
      <w:rPr>
        <w:smallCaps/>
        <w:sz w:val="16"/>
        <w:szCs w:val="16"/>
      </w:rPr>
      <w:t xml:space="preserve">  </w:t>
    </w:r>
    <w:smartTag w:uri="urn:schemas-microsoft-com:office:smarttags" w:element="stockticker">
      <w:r w:rsidRPr="009C5C21">
        <w:rPr>
          <w:smallCaps/>
          <w:sz w:val="16"/>
          <w:szCs w:val="16"/>
        </w:rPr>
        <w:t>www</w:t>
      </w:r>
    </w:smartTag>
    <w:r w:rsidRPr="009C5C21">
      <w:rPr>
        <w:smallCaps/>
        <w:sz w:val="16"/>
        <w:szCs w:val="16"/>
      </w:rPr>
      <w:t>.ncapec.org</w:t>
    </w:r>
  </w:p>
  <w:p w:rsidR="007D77B1" w:rsidRDefault="00004F4F" w:rsidP="00C44756">
    <w:pPr>
      <w:pStyle w:val="Footer"/>
      <w:jc w:val="center"/>
      <w:rPr>
        <w:smallCaps/>
        <w:sz w:val="18"/>
      </w:rPr>
    </w:pPr>
    <w:r>
      <w:rPr>
        <w:noProof/>
      </w:rPr>
      <mc:AlternateContent>
        <mc:Choice Requires="wps">
          <w:drawing>
            <wp:anchor distT="0" distB="0" distL="114300" distR="114300" simplePos="0" relativeHeight="251657728" behindDoc="0" locked="0" layoutInCell="1" allowOverlap="1">
              <wp:simplePos x="0" y="0"/>
              <wp:positionH relativeFrom="column">
                <wp:posOffset>-62865</wp:posOffset>
              </wp:positionH>
              <wp:positionV relativeFrom="paragraph">
                <wp:posOffset>89535</wp:posOffset>
              </wp:positionV>
              <wp:extent cx="61722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05pt" to="48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"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DB1" w:rsidRDefault="00284DB1">
      <w:r>
        <w:separator/>
      </w:r>
    </w:p>
  </w:footnote>
  <w:footnote w:type="continuationSeparator" w:id="0">
    <w:p w:rsidR="00284DB1" w:rsidRDefault="00284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9B9" w:rsidRDefault="007A09B9" w:rsidP="00DD0719">
    <w:pPr>
      <w:tabs>
        <w:tab w:val="right" w:pos="10620"/>
      </w:tabs>
      <w:rPr>
        <w:rFonts w:ascii="CG Times" w:hAnsi="CG Times"/>
        <w:sz w:val="22"/>
      </w:rPr>
    </w:pPr>
    <w:r>
      <w:rPr>
        <w:rFonts w:ascii="CG Times" w:hAnsi="CG Times"/>
        <w:noProof/>
        <w:sz w:val="22"/>
      </w:rPr>
      <w:drawing>
        <wp:anchor distT="0" distB="0" distL="114300" distR="114300" simplePos="0" relativeHeight="251660800" behindDoc="1" locked="0" layoutInCell="1" allowOverlap="1" wp14:anchorId="38160DE6" wp14:editId="412003A7">
          <wp:simplePos x="0" y="0"/>
          <wp:positionH relativeFrom="column">
            <wp:posOffset>5564505</wp:posOffset>
          </wp:positionH>
          <wp:positionV relativeFrom="paragraph">
            <wp:posOffset>-14605</wp:posOffset>
          </wp:positionV>
          <wp:extent cx="1191260" cy="993775"/>
          <wp:effectExtent l="0" t="0" r="8890" b="0"/>
          <wp:wrapThrough wrapText="bothSides">
            <wp:wrapPolygon edited="0">
              <wp:start x="0" y="0"/>
              <wp:lineTo x="0" y="21117"/>
              <wp:lineTo x="21416" y="21117"/>
              <wp:lineTo x="21416" y="0"/>
              <wp:lineTo x="0" y="0"/>
            </wp:wrapPolygon>
          </wp:wrapThrough>
          <wp:docPr id="4" name="Picture 4" descr="F:\2011 USA\Communications and Media\Logos\NCAPEC_2011_HOST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1 USA\Communications and Media\Logos\NCAPEC_2011_HOSTCOM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126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F4F">
      <w:rPr>
        <w:rFonts w:ascii="CG Times" w:hAnsi="CG Times"/>
        <w:noProof/>
        <w:sz w:val="22"/>
      </w:rPr>
      <w:drawing>
        <wp:anchor distT="0" distB="0" distL="114300" distR="114300" simplePos="0" relativeHeight="251658752" behindDoc="1" locked="0" layoutInCell="1" allowOverlap="1" wp14:anchorId="49CA6EDB" wp14:editId="760BA717">
          <wp:simplePos x="0" y="0"/>
          <wp:positionH relativeFrom="column">
            <wp:posOffset>-3175</wp:posOffset>
          </wp:positionH>
          <wp:positionV relativeFrom="paragraph">
            <wp:posOffset>1905</wp:posOffset>
          </wp:positionV>
          <wp:extent cx="1542415" cy="938530"/>
          <wp:effectExtent l="0" t="0" r="635" b="0"/>
          <wp:wrapTight wrapText="bothSides">
            <wp:wrapPolygon edited="0">
              <wp:start x="0" y="0"/>
              <wp:lineTo x="0" y="21045"/>
              <wp:lineTo x="21342" y="21045"/>
              <wp:lineTo x="21342" y="0"/>
              <wp:lineTo x="0" y="0"/>
            </wp:wrapPolygon>
          </wp:wrapTight>
          <wp:docPr id="1" name="Picture 1" descr="NCAP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PEC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2415"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7B1">
      <w:rPr>
        <w:rFonts w:ascii="CG Times" w:hAnsi="CG Times"/>
        <w:sz w:val="22"/>
      </w:rPr>
      <w:tab/>
    </w:r>
  </w:p>
  <w:p w:rsidR="007A09B9" w:rsidRDefault="007A09B9" w:rsidP="00DD0719">
    <w:pPr>
      <w:tabs>
        <w:tab w:val="right" w:pos="10620"/>
      </w:tabs>
      <w:rPr>
        <w:rFonts w:ascii="CG Times" w:hAnsi="CG Times"/>
        <w:sz w:val="22"/>
      </w:rPr>
    </w:pPr>
  </w:p>
  <w:p w:rsidR="007A09B9" w:rsidRDefault="007A09B9" w:rsidP="00DD0719">
    <w:pPr>
      <w:tabs>
        <w:tab w:val="right" w:pos="10620"/>
      </w:tabs>
      <w:rPr>
        <w:rFonts w:ascii="CG Times" w:hAnsi="CG Times"/>
        <w:sz w:val="22"/>
      </w:rPr>
    </w:pPr>
  </w:p>
  <w:p w:rsidR="007A09B9" w:rsidRDefault="007A09B9" w:rsidP="00DD0719">
    <w:pPr>
      <w:tabs>
        <w:tab w:val="right" w:pos="10620"/>
      </w:tabs>
      <w:rPr>
        <w:rFonts w:ascii="CG Times" w:hAnsi="CG Times"/>
        <w:sz w:val="22"/>
      </w:rPr>
    </w:pPr>
  </w:p>
  <w:p w:rsidR="007A09B9" w:rsidRPr="007A09B9" w:rsidRDefault="007A09B9" w:rsidP="007A09B9">
    <w:pPr>
      <w:tabs>
        <w:tab w:val="right" w:pos="10620"/>
      </w:tabs>
      <w:jc w:val="center"/>
      <w:rPr>
        <w:rFonts w:asciiTheme="minorHAnsi" w:hAnsiTheme="minorHAnsi" w:cstheme="minorHAnsi"/>
        <w:sz w:val="18"/>
        <w:szCs w:val="18"/>
      </w:rPr>
    </w:pPr>
  </w:p>
  <w:p w:rsidR="007D77B1" w:rsidRPr="007A09B9" w:rsidRDefault="007D77B1" w:rsidP="007A09B9">
    <w:pPr>
      <w:tabs>
        <w:tab w:val="right" w:pos="10620"/>
      </w:tabs>
      <w:jc w:val="center"/>
      <w:rPr>
        <w:rFonts w:asciiTheme="minorHAnsi" w:hAnsiTheme="minorHAnsi" w:cstheme="minorHAnsi"/>
        <w:b/>
        <w:i/>
        <w:sz w:val="18"/>
        <w:szCs w:val="18"/>
      </w:rPr>
    </w:pPr>
    <w:r w:rsidRPr="007A09B9">
      <w:rPr>
        <w:rFonts w:asciiTheme="minorHAnsi" w:hAnsiTheme="minorHAnsi" w:cstheme="minorHAnsi"/>
        <w:b/>
        <w:i/>
        <w:sz w:val="18"/>
        <w:szCs w:val="18"/>
      </w:rPr>
      <w:t>U.S. APEC Business Advisory Council (ABAC) Secretariat</w:t>
    </w:r>
  </w:p>
  <w:p w:rsidR="007D77B1" w:rsidRPr="007A09B9" w:rsidRDefault="007D77B1" w:rsidP="007A09B9">
    <w:pPr>
      <w:tabs>
        <w:tab w:val="right" w:pos="10620"/>
      </w:tabs>
      <w:jc w:val="center"/>
      <w:rPr>
        <w:rFonts w:asciiTheme="minorHAnsi" w:hAnsiTheme="minorHAnsi" w:cstheme="minorHAnsi"/>
        <w:b/>
        <w:i/>
        <w:sz w:val="18"/>
        <w:szCs w:val="18"/>
      </w:rPr>
    </w:pPr>
    <w:r w:rsidRPr="007A09B9">
      <w:rPr>
        <w:rFonts w:asciiTheme="minorHAnsi" w:hAnsiTheme="minorHAnsi" w:cstheme="minorHAnsi"/>
        <w:b/>
        <w:i/>
        <w:sz w:val="18"/>
        <w:szCs w:val="18"/>
      </w:rPr>
      <w:t>APEC 2011 USA Host Committee Coordinator</w:t>
    </w:r>
  </w:p>
  <w:p w:rsidR="007D77B1" w:rsidRPr="00DD0719" w:rsidRDefault="007D77B1" w:rsidP="00DD0719">
    <w:pPr>
      <w:pBdr>
        <w:top w:val="single" w:sz="4" w:space="1" w:color="auto"/>
      </w:pBdr>
      <w:tabs>
        <w:tab w:val="right" w:pos="10620"/>
      </w:tabs>
      <w:rPr>
        <w:rFonts w:ascii="Book Antiqua" w:hAnsi="Book Antiqu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2E4"/>
    <w:multiLevelType w:val="hybridMultilevel"/>
    <w:tmpl w:val="BC76B4B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0E69CF"/>
    <w:multiLevelType w:val="hybridMultilevel"/>
    <w:tmpl w:val="BC76B4B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D7162B"/>
    <w:multiLevelType w:val="hybridMultilevel"/>
    <w:tmpl w:val="28A0D0CE"/>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1C594658"/>
    <w:multiLevelType w:val="hybridMultilevel"/>
    <w:tmpl w:val="AAEA4E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ED59AC"/>
    <w:multiLevelType w:val="hybridMultilevel"/>
    <w:tmpl w:val="AC687C9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A41BDC"/>
    <w:multiLevelType w:val="hybridMultilevel"/>
    <w:tmpl w:val="240C27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2C750EA"/>
    <w:multiLevelType w:val="singleLevel"/>
    <w:tmpl w:val="73BA2B7C"/>
    <w:lvl w:ilvl="0">
      <w:start w:val="1"/>
      <w:numFmt w:val="bullet"/>
      <w:lvlText w:val=""/>
      <w:lvlJc w:val="left"/>
      <w:pPr>
        <w:tabs>
          <w:tab w:val="num" w:pos="360"/>
        </w:tabs>
        <w:ind w:left="360" w:hanging="360"/>
      </w:pPr>
      <w:rPr>
        <w:rFonts w:ascii="Wingdings" w:hAnsi="Wingdings" w:hint="default"/>
        <w:sz w:val="36"/>
      </w:rPr>
    </w:lvl>
  </w:abstractNum>
  <w:abstractNum w:abstractNumId="7">
    <w:nsid w:val="75A51021"/>
    <w:multiLevelType w:val="hybridMultilevel"/>
    <w:tmpl w:val="E4D8B8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8797B45"/>
    <w:multiLevelType w:val="hybridMultilevel"/>
    <w:tmpl w:val="D188C8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4"/>
  </w:num>
  <w:num w:numId="4">
    <w:abstractNumId w:val="7"/>
  </w:num>
  <w:num w:numId="5">
    <w:abstractNumId w:val="8"/>
  </w:num>
  <w:num w:numId="6">
    <w:abstractNumId w:val="2"/>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23"/>
    <w:rsid w:val="00004F4F"/>
    <w:rsid w:val="00264523"/>
    <w:rsid w:val="00284DB1"/>
    <w:rsid w:val="0033070B"/>
    <w:rsid w:val="00347AF8"/>
    <w:rsid w:val="004F7A84"/>
    <w:rsid w:val="00541A4C"/>
    <w:rsid w:val="005A13A0"/>
    <w:rsid w:val="006A267E"/>
    <w:rsid w:val="00770324"/>
    <w:rsid w:val="007A09B9"/>
    <w:rsid w:val="007D77B1"/>
    <w:rsid w:val="008D4CC4"/>
    <w:rsid w:val="00900A2C"/>
    <w:rsid w:val="00965A15"/>
    <w:rsid w:val="009F705E"/>
    <w:rsid w:val="00A24453"/>
    <w:rsid w:val="00A420C3"/>
    <w:rsid w:val="00A8556A"/>
    <w:rsid w:val="00B510F0"/>
    <w:rsid w:val="00B73EC1"/>
    <w:rsid w:val="00C44756"/>
    <w:rsid w:val="00D81561"/>
    <w:rsid w:val="00DD0719"/>
    <w:rsid w:val="00E55275"/>
    <w:rsid w:val="00FA4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stockticker"/>
  <w:smartTagType w:namespaceuri="urn:schemas-microsoft-com:office:smarttags" w:name="phone"/>
  <w:smartTagType w:namespaceuri="urn:schemas-microsoft-com:office:smarttags" w:name="City"/>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bCs/>
      <w:i/>
      <w:iCs/>
      <w:sz w:val="22"/>
    </w:rPr>
  </w:style>
  <w:style w:type="paragraph" w:styleId="Heading3">
    <w:name w:val="heading 3"/>
    <w:basedOn w:val="Normal"/>
    <w:next w:val="Normal"/>
    <w:link w:val="Heading3Char"/>
    <w:uiPriority w:val="9"/>
    <w:semiHidden/>
    <w:unhideWhenUsed/>
    <w:qFormat/>
    <w:rsid w:val="00A420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a">
    <w:name w:val="_"/>
    <w:rPr>
      <w:rFonts w:ascii="CG Times" w:hAnsi="CG Times"/>
      <w:sz w:val="22"/>
    </w:rPr>
  </w:style>
  <w:style w:type="paragraph" w:styleId="Footer">
    <w:name w:val="footer"/>
    <w:basedOn w:val="Normal"/>
    <w:pPr>
      <w:tabs>
        <w:tab w:val="center" w:pos="4320"/>
        <w:tab w:val="right" w:pos="8640"/>
      </w:tabs>
    </w:pPr>
  </w:style>
  <w:style w:type="paragraph" w:styleId="BodyText">
    <w:name w:val="Body Text"/>
    <w:basedOn w:val="Normal"/>
    <w:rPr>
      <w:rFonts w:ascii="CG Times" w:hAnsi="CG Times"/>
      <w:b/>
      <w:bCs/>
      <w:sz w:val="22"/>
    </w:rPr>
  </w:style>
  <w:style w:type="paragraph" w:styleId="BodyText2">
    <w:name w:val="Body Text 2"/>
    <w:basedOn w:val="Normal"/>
    <w:rPr>
      <w:rFonts w:ascii="CG Times" w:hAnsi="CG Times"/>
      <w:sz w:val="22"/>
    </w:rPr>
  </w:style>
  <w:style w:type="paragraph" w:styleId="BodyTextIndent">
    <w:name w:val="Body Text Indent"/>
    <w:basedOn w:val="Normal"/>
    <w:pPr>
      <w:ind w:left="1440" w:hanging="1440"/>
    </w:pPr>
  </w:style>
  <w:style w:type="paragraph" w:styleId="BodyTextIndent3">
    <w:name w:val="Body Text Indent 3"/>
    <w:basedOn w:val="Normal"/>
    <w:pPr>
      <w:ind w:left="720" w:firstLine="720"/>
    </w:pPr>
  </w:style>
  <w:style w:type="paragraph" w:styleId="Title">
    <w:name w:val="Title"/>
    <w:basedOn w:val="Normal"/>
    <w:qFormat/>
    <w:pPr>
      <w:jc w:val="center"/>
    </w:pPr>
    <w:rPr>
      <w:b/>
      <w:bCs/>
      <w:u w:val="single"/>
    </w:rPr>
  </w:style>
  <w:style w:type="paragraph" w:styleId="Subtitle">
    <w:name w:val="Subtitle"/>
    <w:basedOn w:val="Normal"/>
    <w:qFormat/>
    <w:pPr>
      <w:jc w:val="center"/>
    </w:pPr>
    <w:rPr>
      <w:b/>
      <w:bCs/>
    </w:rPr>
  </w:style>
  <w:style w:type="paragraph" w:styleId="BalloonText">
    <w:name w:val="Balloon Text"/>
    <w:basedOn w:val="Normal"/>
    <w:semiHidden/>
    <w:rsid w:val="00A24453"/>
    <w:rPr>
      <w:rFonts w:ascii="Tahoma" w:hAnsi="Tahoma" w:cs="Tahoma"/>
      <w:sz w:val="16"/>
      <w:szCs w:val="16"/>
    </w:rPr>
  </w:style>
  <w:style w:type="character" w:customStyle="1" w:styleId="Heading3Char">
    <w:name w:val="Heading 3 Char"/>
    <w:basedOn w:val="DefaultParagraphFont"/>
    <w:link w:val="Heading3"/>
    <w:uiPriority w:val="9"/>
    <w:semiHidden/>
    <w:rsid w:val="00A420C3"/>
    <w:rPr>
      <w:rFonts w:asciiTheme="majorHAnsi" w:eastAsiaTheme="majorEastAsia" w:hAnsiTheme="majorHAnsi" w:cstheme="majorBidi"/>
      <w:b/>
      <w:bCs/>
      <w:color w:val="4F81BD" w:themeColor="accent1"/>
    </w:rPr>
  </w:style>
  <w:style w:type="character" w:customStyle="1" w:styleId="bodytext0">
    <w:name w:val="bodytext"/>
    <w:basedOn w:val="DefaultParagraphFont"/>
    <w:rsid w:val="00A42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jc w:val="center"/>
      <w:outlineLvl w:val="1"/>
    </w:pPr>
    <w:rPr>
      <w:b/>
      <w:bCs/>
      <w:i/>
      <w:iCs/>
      <w:sz w:val="22"/>
    </w:rPr>
  </w:style>
  <w:style w:type="paragraph" w:styleId="Heading3">
    <w:name w:val="heading 3"/>
    <w:basedOn w:val="Normal"/>
    <w:next w:val="Normal"/>
    <w:link w:val="Heading3Char"/>
    <w:uiPriority w:val="9"/>
    <w:semiHidden/>
    <w:unhideWhenUsed/>
    <w:qFormat/>
    <w:rsid w:val="00A420C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a">
    <w:name w:val="_"/>
    <w:rPr>
      <w:rFonts w:ascii="CG Times" w:hAnsi="CG Times"/>
      <w:sz w:val="22"/>
    </w:rPr>
  </w:style>
  <w:style w:type="paragraph" w:styleId="Footer">
    <w:name w:val="footer"/>
    <w:basedOn w:val="Normal"/>
    <w:pPr>
      <w:tabs>
        <w:tab w:val="center" w:pos="4320"/>
        <w:tab w:val="right" w:pos="8640"/>
      </w:tabs>
    </w:pPr>
  </w:style>
  <w:style w:type="paragraph" w:styleId="BodyText">
    <w:name w:val="Body Text"/>
    <w:basedOn w:val="Normal"/>
    <w:rPr>
      <w:rFonts w:ascii="CG Times" w:hAnsi="CG Times"/>
      <w:b/>
      <w:bCs/>
      <w:sz w:val="22"/>
    </w:rPr>
  </w:style>
  <w:style w:type="paragraph" w:styleId="BodyText2">
    <w:name w:val="Body Text 2"/>
    <w:basedOn w:val="Normal"/>
    <w:rPr>
      <w:rFonts w:ascii="CG Times" w:hAnsi="CG Times"/>
      <w:sz w:val="22"/>
    </w:rPr>
  </w:style>
  <w:style w:type="paragraph" w:styleId="BodyTextIndent">
    <w:name w:val="Body Text Indent"/>
    <w:basedOn w:val="Normal"/>
    <w:pPr>
      <w:ind w:left="1440" w:hanging="1440"/>
    </w:pPr>
  </w:style>
  <w:style w:type="paragraph" w:styleId="BodyTextIndent3">
    <w:name w:val="Body Text Indent 3"/>
    <w:basedOn w:val="Normal"/>
    <w:pPr>
      <w:ind w:left="720" w:firstLine="720"/>
    </w:pPr>
  </w:style>
  <w:style w:type="paragraph" w:styleId="Title">
    <w:name w:val="Title"/>
    <w:basedOn w:val="Normal"/>
    <w:qFormat/>
    <w:pPr>
      <w:jc w:val="center"/>
    </w:pPr>
    <w:rPr>
      <w:b/>
      <w:bCs/>
      <w:u w:val="single"/>
    </w:rPr>
  </w:style>
  <w:style w:type="paragraph" w:styleId="Subtitle">
    <w:name w:val="Subtitle"/>
    <w:basedOn w:val="Normal"/>
    <w:qFormat/>
    <w:pPr>
      <w:jc w:val="center"/>
    </w:pPr>
    <w:rPr>
      <w:b/>
      <w:bCs/>
    </w:rPr>
  </w:style>
  <w:style w:type="paragraph" w:styleId="BalloonText">
    <w:name w:val="Balloon Text"/>
    <w:basedOn w:val="Normal"/>
    <w:semiHidden/>
    <w:rsid w:val="00A24453"/>
    <w:rPr>
      <w:rFonts w:ascii="Tahoma" w:hAnsi="Tahoma" w:cs="Tahoma"/>
      <w:sz w:val="16"/>
      <w:szCs w:val="16"/>
    </w:rPr>
  </w:style>
  <w:style w:type="character" w:customStyle="1" w:styleId="Heading3Char">
    <w:name w:val="Heading 3 Char"/>
    <w:basedOn w:val="DefaultParagraphFont"/>
    <w:link w:val="Heading3"/>
    <w:uiPriority w:val="9"/>
    <w:semiHidden/>
    <w:rsid w:val="00A420C3"/>
    <w:rPr>
      <w:rFonts w:asciiTheme="majorHAnsi" w:eastAsiaTheme="majorEastAsia" w:hAnsiTheme="majorHAnsi" w:cstheme="majorBidi"/>
      <w:b/>
      <w:bCs/>
      <w:color w:val="4F81BD" w:themeColor="accent1"/>
    </w:rPr>
  </w:style>
  <w:style w:type="character" w:customStyle="1" w:styleId="bodytext0">
    <w:name w:val="bodytext"/>
    <w:basedOn w:val="DefaultParagraphFont"/>
    <w:rsid w:val="00A42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10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NCAPEC%20Electronic%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NCAPEC Electronic Letterhead</Template>
  <TotalTime>0</TotalTime>
  <Pages>1</Pages>
  <Words>524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National Center for APEC</Company>
  <LinksUpToDate>false</LinksUpToDate>
  <CharactersWithSpaces>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Eng</dc:creator>
  <cp:lastModifiedBy>Robert Fiddick</cp:lastModifiedBy>
  <cp:revision>2</cp:revision>
  <cp:lastPrinted>2010-04-02T00:19:00Z</cp:lastPrinted>
  <dcterms:created xsi:type="dcterms:W3CDTF">2011-05-24T23:01:00Z</dcterms:created>
  <dcterms:modified xsi:type="dcterms:W3CDTF">2011-05-24T23:01:00Z</dcterms:modified>
</cp:coreProperties>
</file>