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11" w:rsidRPr="007426A8" w:rsidRDefault="00464F11">
      <w:pPr>
        <w:rPr>
          <w:rFonts w:ascii="Garamond" w:hAnsi="Garamond"/>
          <w:b/>
          <w:bCs/>
          <w:sz w:val="24"/>
          <w:szCs w:val="24"/>
        </w:rPr>
      </w:pPr>
      <w:r w:rsidRPr="007426A8">
        <w:rPr>
          <w:rFonts w:ascii="Garamond" w:hAnsi="Garamond"/>
          <w:b/>
          <w:bCs/>
          <w:sz w:val="24"/>
          <w:szCs w:val="24"/>
        </w:rPr>
        <w:t xml:space="preserve">ABAC Letter to </w:t>
      </w:r>
      <w:r w:rsidR="002B0A3A" w:rsidRPr="007426A8">
        <w:rPr>
          <w:rFonts w:ascii="Garamond" w:hAnsi="Garamond"/>
          <w:b/>
          <w:bCs/>
          <w:sz w:val="24"/>
          <w:szCs w:val="24"/>
        </w:rPr>
        <w:t>SOM</w:t>
      </w:r>
      <w:r w:rsidRPr="007426A8">
        <w:rPr>
          <w:rFonts w:ascii="Garamond" w:hAnsi="Garamond"/>
          <w:b/>
          <w:bCs/>
          <w:sz w:val="24"/>
          <w:szCs w:val="24"/>
        </w:rPr>
        <w:t xml:space="preserve"> on </w:t>
      </w:r>
      <w:r w:rsidR="002B0A3A" w:rsidRPr="007426A8">
        <w:rPr>
          <w:rFonts w:ascii="Garamond" w:hAnsi="Garamond"/>
          <w:b/>
          <w:bCs/>
          <w:sz w:val="24"/>
          <w:szCs w:val="24"/>
        </w:rPr>
        <w:t>Good Regulatory Practices</w:t>
      </w:r>
    </w:p>
    <w:p w:rsidR="00F74180" w:rsidRPr="00C14BF4" w:rsidRDefault="00464F11">
      <w:pPr>
        <w:rPr>
          <w:rFonts w:ascii="Garamond" w:hAnsi="Garamond"/>
          <w:sz w:val="24"/>
          <w:szCs w:val="24"/>
        </w:rPr>
      </w:pPr>
      <w:r w:rsidRPr="007426A8">
        <w:rPr>
          <w:rFonts w:ascii="Garamond" w:hAnsi="Garamond"/>
          <w:sz w:val="24"/>
          <w:szCs w:val="24"/>
        </w:rPr>
        <w:t xml:space="preserve">ABAC </w:t>
      </w:r>
      <w:r w:rsidR="000E1036" w:rsidRPr="007426A8">
        <w:rPr>
          <w:rFonts w:ascii="Garamond" w:hAnsi="Garamond"/>
          <w:sz w:val="24"/>
          <w:szCs w:val="24"/>
        </w:rPr>
        <w:t xml:space="preserve">supports APEC’s work to strengthen and deepen </w:t>
      </w:r>
      <w:r w:rsidRPr="007426A8">
        <w:rPr>
          <w:rFonts w:ascii="Garamond" w:hAnsi="Garamond"/>
          <w:sz w:val="24"/>
          <w:szCs w:val="24"/>
        </w:rPr>
        <w:t>regional economic integration</w:t>
      </w:r>
      <w:r w:rsidR="00FC495A" w:rsidRPr="007426A8">
        <w:rPr>
          <w:rFonts w:ascii="Garamond" w:hAnsi="Garamond"/>
          <w:sz w:val="24"/>
          <w:szCs w:val="24"/>
        </w:rPr>
        <w:t xml:space="preserve"> as well as increase trade and economic growth through the implementation of good regulatory practices (GRP)</w:t>
      </w:r>
      <w:r w:rsidRPr="007426A8">
        <w:rPr>
          <w:rFonts w:ascii="Garamond" w:hAnsi="Garamond"/>
          <w:sz w:val="24"/>
          <w:szCs w:val="24"/>
        </w:rPr>
        <w:t xml:space="preserve">.  </w:t>
      </w:r>
      <w:r w:rsidR="002B0A3A" w:rsidRPr="007426A8">
        <w:rPr>
          <w:rFonts w:ascii="Garamond" w:hAnsi="Garamond"/>
          <w:sz w:val="24"/>
          <w:szCs w:val="24"/>
        </w:rPr>
        <w:t>GRP</w:t>
      </w:r>
      <w:r w:rsidR="00F74180" w:rsidRPr="007426A8">
        <w:rPr>
          <w:rFonts w:ascii="Garamond" w:hAnsi="Garamond"/>
          <w:sz w:val="24"/>
          <w:szCs w:val="24"/>
        </w:rPr>
        <w:t xml:space="preserve"> remains a </w:t>
      </w:r>
      <w:r w:rsidR="00FC495A" w:rsidRPr="007426A8">
        <w:rPr>
          <w:rFonts w:ascii="Garamond" w:hAnsi="Garamond"/>
          <w:sz w:val="24"/>
          <w:szCs w:val="24"/>
        </w:rPr>
        <w:t>critical</w:t>
      </w:r>
      <w:r w:rsidR="00F74180" w:rsidRPr="007426A8">
        <w:rPr>
          <w:rFonts w:ascii="Garamond" w:hAnsi="Garamond"/>
          <w:sz w:val="24"/>
          <w:szCs w:val="24"/>
        </w:rPr>
        <w:t xml:space="preserve"> challenge in many areas of interest from the services sector to supply chains.</w:t>
      </w:r>
      <w:r w:rsidR="008C129E" w:rsidRPr="007426A8">
        <w:rPr>
          <w:rFonts w:ascii="Garamond" w:hAnsi="Garamond"/>
          <w:sz w:val="24"/>
          <w:szCs w:val="24"/>
        </w:rPr>
        <w:t xml:space="preserve">  </w:t>
      </w:r>
      <w:r w:rsidR="008C129E" w:rsidRPr="00000ADD">
        <w:rPr>
          <w:rFonts w:ascii="Garamond" w:hAnsi="Garamond"/>
          <w:sz w:val="24"/>
          <w:szCs w:val="24"/>
        </w:rPr>
        <w:t>Market actors and mo</w:t>
      </w:r>
      <w:r w:rsidR="008C129E" w:rsidRPr="007426A8">
        <w:rPr>
          <w:rFonts w:ascii="Garamond" w:hAnsi="Garamond"/>
          <w:sz w:val="24"/>
          <w:szCs w:val="24"/>
        </w:rPr>
        <w:t xml:space="preserve">dern supply chains </w:t>
      </w:r>
      <w:r w:rsidR="008C129E" w:rsidRPr="00000ADD">
        <w:rPr>
          <w:rFonts w:ascii="Garamond" w:hAnsi="Garamond"/>
          <w:sz w:val="24"/>
          <w:szCs w:val="24"/>
        </w:rPr>
        <w:t xml:space="preserve">operate globally, with </w:t>
      </w:r>
      <w:r w:rsidR="008C129E" w:rsidRPr="007426A8">
        <w:rPr>
          <w:rFonts w:ascii="Garamond" w:hAnsi="Garamond"/>
          <w:sz w:val="24"/>
          <w:szCs w:val="24"/>
        </w:rPr>
        <w:t>c</w:t>
      </w:r>
      <w:r w:rsidR="00536288" w:rsidRPr="007426A8">
        <w:rPr>
          <w:rFonts w:ascii="Garamond" w:hAnsi="Garamond"/>
          <w:sz w:val="24"/>
          <w:szCs w:val="24"/>
        </w:rPr>
        <w:t xml:space="preserve">omponents </w:t>
      </w:r>
      <w:r w:rsidR="00037C3A" w:rsidRPr="007426A8">
        <w:rPr>
          <w:rFonts w:ascii="Garamond" w:hAnsi="Garamond"/>
          <w:sz w:val="24"/>
          <w:szCs w:val="24"/>
        </w:rPr>
        <w:t>being</w:t>
      </w:r>
      <w:r w:rsidR="00536288" w:rsidRPr="007426A8">
        <w:rPr>
          <w:rFonts w:ascii="Garamond" w:hAnsi="Garamond"/>
          <w:sz w:val="24"/>
          <w:szCs w:val="24"/>
        </w:rPr>
        <w:t xml:space="preserve"> sourced </w:t>
      </w:r>
      <w:r w:rsidR="00037C3A" w:rsidRPr="00A01136">
        <w:rPr>
          <w:rFonts w:ascii="Garamond" w:hAnsi="Garamond"/>
          <w:sz w:val="24"/>
          <w:szCs w:val="24"/>
        </w:rPr>
        <w:t xml:space="preserve">from </w:t>
      </w:r>
      <w:r w:rsidR="00536288" w:rsidRPr="00EF79AE">
        <w:rPr>
          <w:rFonts w:ascii="Garamond" w:hAnsi="Garamond"/>
          <w:sz w:val="24"/>
          <w:szCs w:val="24"/>
        </w:rPr>
        <w:t>across the world.  Variations in regulations in just one economy can impact the entire supply chain and impose significant costs to business</w:t>
      </w:r>
      <w:r w:rsidR="00000ADD">
        <w:rPr>
          <w:rFonts w:ascii="Garamond" w:hAnsi="Garamond"/>
          <w:sz w:val="24"/>
          <w:szCs w:val="24"/>
        </w:rPr>
        <w:t>es, governments, and citizens</w:t>
      </w:r>
      <w:r w:rsidR="00536288" w:rsidRPr="00EF79AE">
        <w:rPr>
          <w:rFonts w:ascii="Garamond" w:hAnsi="Garamond"/>
          <w:sz w:val="24"/>
          <w:szCs w:val="24"/>
        </w:rPr>
        <w:t>.  For businesses, and in particular SMMEs, higher compliance costs hinder international competitiveness and complicate the most efficient dep</w:t>
      </w:r>
      <w:r w:rsidR="00CE1F5A" w:rsidRPr="00142170">
        <w:rPr>
          <w:rFonts w:ascii="Garamond" w:hAnsi="Garamond"/>
          <w:sz w:val="24"/>
          <w:szCs w:val="24"/>
        </w:rPr>
        <w:t xml:space="preserve">loyment of economic resources.  </w:t>
      </w:r>
      <w:r w:rsidR="00037C3A" w:rsidRPr="00C14BF4">
        <w:rPr>
          <w:rFonts w:ascii="Garamond" w:hAnsi="Garamond"/>
          <w:sz w:val="24"/>
          <w:szCs w:val="24"/>
        </w:rPr>
        <w:t>ABAC encourages APEC Senior Officials to incorporate the following regulatory issues into their ongoing work on GRP.</w:t>
      </w:r>
    </w:p>
    <w:p w:rsidR="00C14BF4" w:rsidRDefault="00FC495A" w:rsidP="00C14BF4">
      <w:pPr>
        <w:pStyle w:val="ListParagraph"/>
        <w:numPr>
          <w:ilvl w:val="0"/>
          <w:numId w:val="7"/>
        </w:numPr>
        <w:ind w:left="360"/>
        <w:rPr>
          <w:rFonts w:ascii="Garamond" w:hAnsi="Garamond"/>
          <w:sz w:val="24"/>
          <w:szCs w:val="24"/>
          <w:u w:val="single"/>
        </w:rPr>
      </w:pPr>
      <w:r w:rsidRPr="00C14BF4">
        <w:rPr>
          <w:rFonts w:ascii="Garamond" w:hAnsi="Garamond"/>
          <w:sz w:val="24"/>
          <w:szCs w:val="24"/>
          <w:u w:val="single"/>
        </w:rPr>
        <w:t>Increase</w:t>
      </w:r>
      <w:r w:rsidR="002B0A3A" w:rsidRPr="00C14BF4">
        <w:rPr>
          <w:rFonts w:ascii="Garamond" w:hAnsi="Garamond"/>
          <w:sz w:val="24"/>
          <w:szCs w:val="24"/>
          <w:u w:val="single"/>
        </w:rPr>
        <w:t xml:space="preserve"> </w:t>
      </w:r>
      <w:r w:rsidR="00620E5F">
        <w:rPr>
          <w:rFonts w:ascii="Garamond" w:hAnsi="Garamond"/>
          <w:sz w:val="24"/>
          <w:szCs w:val="24"/>
          <w:u w:val="single"/>
        </w:rPr>
        <w:t xml:space="preserve">Regulatory </w:t>
      </w:r>
      <w:r w:rsidR="002B0A3A" w:rsidRPr="00C14BF4">
        <w:rPr>
          <w:rFonts w:ascii="Garamond" w:hAnsi="Garamond"/>
          <w:sz w:val="24"/>
          <w:szCs w:val="24"/>
          <w:u w:val="single"/>
        </w:rPr>
        <w:t>Transparency</w:t>
      </w:r>
    </w:p>
    <w:p w:rsidR="00C14BF4" w:rsidRDefault="00C14BF4" w:rsidP="00C14BF4">
      <w:pPr>
        <w:pStyle w:val="ListParagraph"/>
        <w:ind w:left="360"/>
        <w:rPr>
          <w:rFonts w:ascii="Garamond" w:hAnsi="Garamond"/>
          <w:sz w:val="24"/>
          <w:szCs w:val="24"/>
          <w:u w:val="single"/>
        </w:rPr>
      </w:pPr>
    </w:p>
    <w:p w:rsidR="002B0A3A" w:rsidRPr="00C14BF4" w:rsidRDefault="002B0A3A" w:rsidP="00C14BF4">
      <w:pPr>
        <w:pStyle w:val="ListParagraph"/>
        <w:ind w:left="360"/>
        <w:rPr>
          <w:rFonts w:ascii="Garamond" w:hAnsi="Garamond"/>
          <w:sz w:val="24"/>
          <w:szCs w:val="24"/>
          <w:u w:val="single"/>
        </w:rPr>
      </w:pPr>
      <w:r w:rsidRPr="00C14BF4">
        <w:rPr>
          <w:rFonts w:ascii="Garamond" w:hAnsi="Garamond"/>
          <w:sz w:val="24"/>
          <w:szCs w:val="24"/>
        </w:rPr>
        <w:t xml:space="preserve">A 2012 study by the Pacific Economic Cooperation Council (PECC) cited </w:t>
      </w:r>
      <w:r w:rsidR="00037C3A" w:rsidRPr="00C14BF4">
        <w:rPr>
          <w:rFonts w:ascii="Garamond" w:hAnsi="Garamond"/>
          <w:sz w:val="24"/>
          <w:szCs w:val="24"/>
        </w:rPr>
        <w:t xml:space="preserve">a </w:t>
      </w:r>
      <w:r w:rsidRPr="00C14BF4">
        <w:rPr>
          <w:rFonts w:ascii="Garamond" w:hAnsi="Garamond"/>
          <w:sz w:val="24"/>
          <w:szCs w:val="24"/>
        </w:rPr>
        <w:t xml:space="preserve">lack of transparency in regulations as the most pressing issue for Asia-Pacific free trade agreements, and lack of transparency in regulatory practices as the most serious challenges to doing business in the Asia-Pacific region.  </w:t>
      </w:r>
      <w:r w:rsidR="00620E5F">
        <w:rPr>
          <w:rFonts w:ascii="Garamond" w:hAnsi="Garamond" w:cs="PalatinoLTStd-Light"/>
          <w:sz w:val="24"/>
          <w:szCs w:val="24"/>
        </w:rPr>
        <w:t xml:space="preserve">Transparency in the </w:t>
      </w:r>
      <w:r w:rsidR="00620E5F" w:rsidRPr="00C14BF4">
        <w:rPr>
          <w:rFonts w:ascii="Garamond" w:hAnsi="Garamond" w:cs="PalatinoLTStd-Light"/>
          <w:sz w:val="24"/>
          <w:szCs w:val="24"/>
        </w:rPr>
        <w:t>development</w:t>
      </w:r>
      <w:r w:rsidR="00620E5F">
        <w:rPr>
          <w:rFonts w:ascii="Garamond" w:hAnsi="Garamond" w:cs="PalatinoLTStd-Light"/>
          <w:sz w:val="24"/>
          <w:szCs w:val="24"/>
        </w:rPr>
        <w:t xml:space="preserve">, implementation, </w:t>
      </w:r>
      <w:r w:rsidR="00840BAE">
        <w:rPr>
          <w:rFonts w:ascii="Garamond" w:hAnsi="Garamond" w:cs="PalatinoLTStd-Light"/>
          <w:sz w:val="24"/>
          <w:szCs w:val="24"/>
        </w:rPr>
        <w:t xml:space="preserve">review, </w:t>
      </w:r>
      <w:r w:rsidR="00620E5F">
        <w:rPr>
          <w:rFonts w:ascii="Garamond" w:hAnsi="Garamond" w:cs="PalatinoLTStd-Light"/>
          <w:sz w:val="24"/>
          <w:szCs w:val="24"/>
        </w:rPr>
        <w:t>and enforcement of regulatory frameworks is</w:t>
      </w:r>
      <w:r w:rsidR="00C14BF4" w:rsidRPr="00C14BF4">
        <w:rPr>
          <w:rFonts w:ascii="Garamond" w:hAnsi="Garamond" w:cs="PalatinoLTStd-Light"/>
          <w:sz w:val="24"/>
          <w:szCs w:val="24"/>
        </w:rPr>
        <w:t xml:space="preserve"> critical to </w:t>
      </w:r>
      <w:r w:rsidR="00620E5F">
        <w:rPr>
          <w:rFonts w:ascii="Garamond" w:hAnsi="Garamond" w:cs="PalatinoLTStd-Light"/>
          <w:sz w:val="24"/>
          <w:szCs w:val="24"/>
        </w:rPr>
        <w:t>market</w:t>
      </w:r>
      <w:r w:rsidR="00C14BF4" w:rsidRPr="00C14BF4">
        <w:rPr>
          <w:rFonts w:ascii="Garamond" w:hAnsi="Garamond" w:cs="PalatinoLTStd-Light"/>
          <w:sz w:val="24"/>
          <w:szCs w:val="24"/>
        </w:rPr>
        <w:t xml:space="preserve"> certainty.  </w:t>
      </w:r>
      <w:r w:rsidR="00E477EA" w:rsidRPr="00C14BF4">
        <w:rPr>
          <w:rFonts w:ascii="Garamond" w:hAnsi="Garamond"/>
          <w:sz w:val="24"/>
          <w:szCs w:val="24"/>
        </w:rPr>
        <w:t>The private sector</w:t>
      </w:r>
      <w:r w:rsidRPr="00C14BF4">
        <w:rPr>
          <w:rFonts w:ascii="Garamond" w:hAnsi="Garamond"/>
          <w:sz w:val="24"/>
          <w:szCs w:val="24"/>
        </w:rPr>
        <w:t xml:space="preserve"> need</w:t>
      </w:r>
      <w:r w:rsidR="00E477EA" w:rsidRPr="00C14BF4">
        <w:rPr>
          <w:rFonts w:ascii="Garamond" w:hAnsi="Garamond"/>
          <w:sz w:val="24"/>
          <w:szCs w:val="24"/>
        </w:rPr>
        <w:t>s</w:t>
      </w:r>
      <w:r w:rsidRPr="00C14BF4">
        <w:rPr>
          <w:rFonts w:ascii="Garamond" w:hAnsi="Garamond"/>
          <w:sz w:val="24"/>
          <w:szCs w:val="24"/>
        </w:rPr>
        <w:t xml:space="preserve"> certainty and stability with regard to the implementation </w:t>
      </w:r>
      <w:r w:rsidR="00AB15D2" w:rsidRPr="00C14BF4">
        <w:rPr>
          <w:rFonts w:ascii="Garamond" w:hAnsi="Garamond"/>
          <w:sz w:val="24"/>
          <w:szCs w:val="24"/>
        </w:rPr>
        <w:t xml:space="preserve">and enforcement </w:t>
      </w:r>
      <w:r w:rsidRPr="00C14BF4">
        <w:rPr>
          <w:rFonts w:ascii="Garamond" w:hAnsi="Garamond"/>
          <w:sz w:val="24"/>
          <w:szCs w:val="24"/>
        </w:rPr>
        <w:t>of regulatory frameworks</w:t>
      </w:r>
      <w:r w:rsidR="00AB15D2" w:rsidRPr="00C14BF4">
        <w:rPr>
          <w:rFonts w:ascii="Garamond" w:hAnsi="Garamond"/>
          <w:sz w:val="24"/>
          <w:szCs w:val="24"/>
        </w:rPr>
        <w:t>.  The implementation of robust annual regulatory agendas across the r</w:t>
      </w:r>
      <w:r w:rsidR="00000ADD">
        <w:rPr>
          <w:rFonts w:ascii="Garamond" w:hAnsi="Garamond"/>
          <w:sz w:val="24"/>
          <w:szCs w:val="24"/>
        </w:rPr>
        <w:t xml:space="preserve">egion will improve transparency, </w:t>
      </w:r>
      <w:r w:rsidR="00AB15D2" w:rsidRPr="00C14BF4">
        <w:rPr>
          <w:rFonts w:ascii="Garamond" w:hAnsi="Garamond"/>
          <w:sz w:val="24"/>
          <w:szCs w:val="24"/>
        </w:rPr>
        <w:t xml:space="preserve">provide the </w:t>
      </w:r>
      <w:r w:rsidR="00000ADD">
        <w:rPr>
          <w:rFonts w:ascii="Garamond" w:hAnsi="Garamond"/>
          <w:sz w:val="24"/>
          <w:szCs w:val="24"/>
        </w:rPr>
        <w:t>necessary commercial</w:t>
      </w:r>
      <w:r w:rsidR="00AB15D2" w:rsidRPr="00C14BF4">
        <w:rPr>
          <w:rFonts w:ascii="Garamond" w:hAnsi="Garamond"/>
          <w:sz w:val="24"/>
          <w:szCs w:val="24"/>
        </w:rPr>
        <w:t xml:space="preserve"> </w:t>
      </w:r>
      <w:r w:rsidR="00037C3A" w:rsidRPr="00C14BF4">
        <w:rPr>
          <w:rFonts w:ascii="Garamond" w:hAnsi="Garamond"/>
          <w:sz w:val="24"/>
          <w:szCs w:val="24"/>
        </w:rPr>
        <w:t>certainty</w:t>
      </w:r>
      <w:r w:rsidR="00AB15D2" w:rsidRPr="00C14BF4">
        <w:rPr>
          <w:rFonts w:ascii="Garamond" w:hAnsi="Garamond"/>
          <w:sz w:val="24"/>
          <w:szCs w:val="24"/>
        </w:rPr>
        <w:t xml:space="preserve"> for development of </w:t>
      </w:r>
      <w:r w:rsidR="00147E74" w:rsidRPr="00C14BF4">
        <w:rPr>
          <w:rFonts w:ascii="Garamond" w:hAnsi="Garamond"/>
          <w:sz w:val="24"/>
          <w:szCs w:val="24"/>
        </w:rPr>
        <w:t xml:space="preserve">goods and services </w:t>
      </w:r>
      <w:r w:rsidR="00AB15D2" w:rsidRPr="00C14BF4">
        <w:rPr>
          <w:rFonts w:ascii="Garamond" w:hAnsi="Garamond"/>
          <w:sz w:val="24"/>
          <w:szCs w:val="24"/>
        </w:rPr>
        <w:t>accor</w:t>
      </w:r>
      <w:r w:rsidR="00000ADD">
        <w:rPr>
          <w:rFonts w:ascii="Garamond" w:hAnsi="Garamond"/>
          <w:sz w:val="24"/>
          <w:szCs w:val="24"/>
        </w:rPr>
        <w:t>ding to regulatory requirements, as well as</w:t>
      </w:r>
      <w:r w:rsidR="00037C3A" w:rsidRPr="00C14BF4">
        <w:rPr>
          <w:rFonts w:ascii="Garamond" w:hAnsi="Garamond"/>
          <w:sz w:val="24"/>
          <w:szCs w:val="24"/>
        </w:rPr>
        <w:t xml:space="preserve"> enhance</w:t>
      </w:r>
      <w:r w:rsidR="00AB15D2" w:rsidRPr="00C14BF4">
        <w:rPr>
          <w:rFonts w:ascii="Garamond" w:hAnsi="Garamond"/>
          <w:sz w:val="24"/>
          <w:szCs w:val="24"/>
        </w:rPr>
        <w:t xml:space="preserve"> innovation, trade, and open competition.</w:t>
      </w:r>
    </w:p>
    <w:p w:rsidR="00CA3395" w:rsidRPr="00C14BF4" w:rsidRDefault="00CA3395" w:rsidP="00CA3395">
      <w:pPr>
        <w:pStyle w:val="ListParagraph"/>
        <w:ind w:left="360"/>
        <w:rPr>
          <w:rFonts w:ascii="Garamond" w:hAnsi="Garamond"/>
          <w:sz w:val="24"/>
          <w:szCs w:val="24"/>
        </w:rPr>
      </w:pPr>
    </w:p>
    <w:p w:rsidR="007F095F" w:rsidRPr="00840BAE" w:rsidRDefault="00201883" w:rsidP="00CA3395">
      <w:pPr>
        <w:pStyle w:val="ListParagraph"/>
        <w:ind w:left="360"/>
        <w:rPr>
          <w:rFonts w:ascii="Garamond" w:hAnsi="Garamond"/>
          <w:sz w:val="24"/>
          <w:szCs w:val="24"/>
        </w:rPr>
      </w:pPr>
      <w:r w:rsidRPr="00620E5F">
        <w:rPr>
          <w:rFonts w:ascii="Garamond" w:hAnsi="Garamond"/>
          <w:sz w:val="24"/>
          <w:szCs w:val="24"/>
        </w:rPr>
        <w:t xml:space="preserve">Consultation mechanisms are </w:t>
      </w:r>
      <w:r w:rsidR="00CA3395" w:rsidRPr="00620E5F">
        <w:rPr>
          <w:rFonts w:ascii="Garamond" w:hAnsi="Garamond"/>
          <w:sz w:val="24"/>
          <w:szCs w:val="24"/>
        </w:rPr>
        <w:t xml:space="preserve">also </w:t>
      </w:r>
      <w:r w:rsidR="00FC495A" w:rsidRPr="00620E5F">
        <w:rPr>
          <w:rFonts w:ascii="Garamond" w:hAnsi="Garamond"/>
          <w:sz w:val="24"/>
          <w:szCs w:val="24"/>
        </w:rPr>
        <w:t>essential to demonstrating</w:t>
      </w:r>
      <w:r w:rsidRPr="00620E5F">
        <w:rPr>
          <w:rFonts w:ascii="Garamond" w:hAnsi="Garamond"/>
          <w:sz w:val="24"/>
          <w:szCs w:val="24"/>
        </w:rPr>
        <w:t xml:space="preserve"> transparency to all stakeholders.  </w:t>
      </w:r>
      <w:r w:rsidR="007F095F" w:rsidRPr="00620E5F">
        <w:rPr>
          <w:rFonts w:ascii="Garamond" w:hAnsi="Garamond"/>
          <w:sz w:val="24"/>
          <w:szCs w:val="24"/>
        </w:rPr>
        <w:t xml:space="preserve">APEC should strengthen the use of consultation mechanisms to enhance accountability, promote </w:t>
      </w:r>
      <w:r w:rsidRPr="00620E5F">
        <w:rPr>
          <w:rFonts w:ascii="Garamond" w:hAnsi="Garamond"/>
          <w:sz w:val="24"/>
          <w:szCs w:val="24"/>
        </w:rPr>
        <w:t>best practices, and</w:t>
      </w:r>
      <w:r w:rsidR="007F095F" w:rsidRPr="00620E5F">
        <w:rPr>
          <w:rFonts w:ascii="Garamond" w:hAnsi="Garamond"/>
          <w:sz w:val="24"/>
          <w:szCs w:val="24"/>
        </w:rPr>
        <w:t xml:space="preserve"> take </w:t>
      </w:r>
      <w:r w:rsidRPr="00620E5F">
        <w:rPr>
          <w:rFonts w:ascii="Garamond" w:hAnsi="Garamond"/>
          <w:sz w:val="24"/>
          <w:szCs w:val="24"/>
        </w:rPr>
        <w:t>into account the diverse interest</w:t>
      </w:r>
      <w:r w:rsidR="00000ADD">
        <w:rPr>
          <w:rFonts w:ascii="Garamond" w:hAnsi="Garamond"/>
          <w:sz w:val="24"/>
          <w:szCs w:val="24"/>
        </w:rPr>
        <w:t>s</w:t>
      </w:r>
      <w:r w:rsidRPr="00620E5F">
        <w:rPr>
          <w:rFonts w:ascii="Garamond" w:hAnsi="Garamond"/>
          <w:sz w:val="24"/>
          <w:szCs w:val="24"/>
        </w:rPr>
        <w:t xml:space="preserve"> of stakeholders. </w:t>
      </w:r>
      <w:r w:rsidR="00C83A86" w:rsidRPr="00620E5F">
        <w:rPr>
          <w:rFonts w:ascii="Garamond" w:hAnsi="Garamond"/>
          <w:sz w:val="24"/>
          <w:szCs w:val="24"/>
        </w:rPr>
        <w:t xml:space="preserve"> A single point of location for regulatory information is a crucial component to enhancing consultation.  Businesses, in particular SMMEs, often lack the resources to</w:t>
      </w:r>
      <w:r w:rsidR="00C83A86" w:rsidRPr="006760F7">
        <w:rPr>
          <w:rFonts w:ascii="Garamond" w:hAnsi="Garamond"/>
          <w:sz w:val="24"/>
          <w:szCs w:val="24"/>
        </w:rPr>
        <w:t xml:space="preserve"> stay abreast of regulations across the region. </w:t>
      </w:r>
      <w:r w:rsidR="000E1036" w:rsidRPr="00184CAA">
        <w:rPr>
          <w:rFonts w:ascii="Garamond" w:hAnsi="Garamond"/>
          <w:sz w:val="24"/>
          <w:szCs w:val="24"/>
        </w:rPr>
        <w:t xml:space="preserve"> By utilizing new technologies in the form of online databases or web portals, APEC can promote a two-way flow of information between government and those affected by </w:t>
      </w:r>
      <w:r w:rsidR="00037C3A" w:rsidRPr="00184CAA">
        <w:rPr>
          <w:rFonts w:ascii="Garamond" w:hAnsi="Garamond"/>
          <w:sz w:val="24"/>
          <w:szCs w:val="24"/>
        </w:rPr>
        <w:t>regulatory changes to</w:t>
      </w:r>
      <w:r w:rsidR="000E1036" w:rsidRPr="00184CAA">
        <w:rPr>
          <w:rFonts w:ascii="Garamond" w:hAnsi="Garamond"/>
          <w:sz w:val="24"/>
          <w:szCs w:val="24"/>
        </w:rPr>
        <w:t xml:space="preserve"> promote public involvement </w:t>
      </w:r>
      <w:r w:rsidR="00037C3A" w:rsidRPr="00184CAA">
        <w:rPr>
          <w:rFonts w:ascii="Garamond" w:hAnsi="Garamond"/>
          <w:sz w:val="24"/>
          <w:szCs w:val="24"/>
        </w:rPr>
        <w:t>and</w:t>
      </w:r>
      <w:r w:rsidR="000E1036" w:rsidRPr="00184CAA">
        <w:rPr>
          <w:rFonts w:ascii="Garamond" w:hAnsi="Garamond"/>
          <w:sz w:val="24"/>
          <w:szCs w:val="24"/>
        </w:rPr>
        <w:t xml:space="preserve"> enhance the tran</w:t>
      </w:r>
      <w:r w:rsidR="00CA3395" w:rsidRPr="00184CAA">
        <w:rPr>
          <w:rFonts w:ascii="Garamond" w:hAnsi="Garamond"/>
          <w:sz w:val="24"/>
          <w:szCs w:val="24"/>
        </w:rPr>
        <w:t xml:space="preserve">sparency of government decision </w:t>
      </w:r>
      <w:r w:rsidR="000E1036" w:rsidRPr="00840BAE">
        <w:rPr>
          <w:rFonts w:ascii="Garamond" w:hAnsi="Garamond"/>
          <w:sz w:val="24"/>
          <w:szCs w:val="24"/>
        </w:rPr>
        <w:t>making.</w:t>
      </w:r>
    </w:p>
    <w:p w:rsidR="00CA3395" w:rsidRPr="00840BAE" w:rsidRDefault="00CA3395" w:rsidP="00CA3395">
      <w:pPr>
        <w:pStyle w:val="ListParagraph"/>
        <w:ind w:left="360"/>
        <w:rPr>
          <w:rFonts w:ascii="Garamond" w:hAnsi="Garamond"/>
          <w:sz w:val="24"/>
          <w:szCs w:val="24"/>
          <w:u w:val="single"/>
        </w:rPr>
      </w:pPr>
    </w:p>
    <w:p w:rsidR="00184CAA" w:rsidRPr="00000ADD" w:rsidRDefault="00FC495A" w:rsidP="00000ADD">
      <w:pPr>
        <w:pStyle w:val="ListParagraph"/>
        <w:numPr>
          <w:ilvl w:val="0"/>
          <w:numId w:val="7"/>
        </w:numPr>
        <w:ind w:left="360"/>
        <w:rPr>
          <w:rFonts w:ascii="Garamond" w:hAnsi="Garamond"/>
          <w:sz w:val="24"/>
          <w:szCs w:val="24"/>
          <w:u w:val="single"/>
        </w:rPr>
      </w:pPr>
      <w:r w:rsidRPr="00000ADD">
        <w:rPr>
          <w:rFonts w:ascii="Garamond" w:hAnsi="Garamond"/>
          <w:sz w:val="24"/>
          <w:szCs w:val="24"/>
          <w:u w:val="single"/>
        </w:rPr>
        <w:t xml:space="preserve">Strengthen </w:t>
      </w:r>
      <w:r w:rsidR="007F095F" w:rsidRPr="00000ADD">
        <w:rPr>
          <w:rFonts w:ascii="Garamond" w:hAnsi="Garamond"/>
          <w:sz w:val="24"/>
          <w:szCs w:val="24"/>
          <w:u w:val="single"/>
        </w:rPr>
        <w:t xml:space="preserve">Regional </w:t>
      </w:r>
      <w:r w:rsidR="002B0A3A" w:rsidRPr="00000ADD">
        <w:rPr>
          <w:rFonts w:ascii="Garamond" w:hAnsi="Garamond"/>
          <w:sz w:val="24"/>
          <w:szCs w:val="24"/>
          <w:u w:val="single"/>
        </w:rPr>
        <w:t xml:space="preserve">Coordination </w:t>
      </w:r>
      <w:r w:rsidR="00000ADD">
        <w:rPr>
          <w:rFonts w:ascii="Garamond" w:hAnsi="Garamond"/>
          <w:sz w:val="24"/>
          <w:szCs w:val="24"/>
          <w:u w:val="single"/>
        </w:rPr>
        <w:t>in</w:t>
      </w:r>
      <w:r w:rsidR="00000ADD" w:rsidRPr="00000ADD">
        <w:rPr>
          <w:rFonts w:ascii="Garamond" w:hAnsi="Garamond"/>
          <w:sz w:val="24"/>
          <w:szCs w:val="24"/>
          <w:u w:val="single"/>
        </w:rPr>
        <w:t xml:space="preserve"> </w:t>
      </w:r>
      <w:r w:rsidR="00165522" w:rsidRPr="00000ADD">
        <w:rPr>
          <w:rFonts w:ascii="Garamond" w:hAnsi="Garamond"/>
          <w:sz w:val="24"/>
          <w:szCs w:val="24"/>
          <w:u w:val="single"/>
        </w:rPr>
        <w:t xml:space="preserve">the Development of </w:t>
      </w:r>
      <w:r w:rsidR="002B0A3A" w:rsidRPr="00000ADD">
        <w:rPr>
          <w:rFonts w:ascii="Garamond" w:hAnsi="Garamond"/>
          <w:sz w:val="24"/>
          <w:szCs w:val="24"/>
          <w:u w:val="single"/>
        </w:rPr>
        <w:t>Regulations</w:t>
      </w:r>
    </w:p>
    <w:p w:rsidR="00000ADD" w:rsidRDefault="00000ADD" w:rsidP="00184CAA">
      <w:pPr>
        <w:pStyle w:val="ListParagraph"/>
        <w:ind w:left="360"/>
        <w:rPr>
          <w:rFonts w:ascii="Garamond" w:hAnsi="Garamond"/>
          <w:sz w:val="24"/>
          <w:szCs w:val="24"/>
        </w:rPr>
      </w:pPr>
    </w:p>
    <w:p w:rsidR="00C43150" w:rsidRPr="00000ADD" w:rsidRDefault="008C129E" w:rsidP="00000ADD">
      <w:pPr>
        <w:pStyle w:val="ListParagraph"/>
        <w:ind w:left="360"/>
        <w:rPr>
          <w:rFonts w:ascii="Garamond" w:hAnsi="Garamond"/>
          <w:sz w:val="24"/>
          <w:szCs w:val="24"/>
          <w:u w:val="single"/>
        </w:rPr>
      </w:pPr>
      <w:r w:rsidRPr="00184CAA">
        <w:rPr>
          <w:rFonts w:ascii="Garamond" w:hAnsi="Garamond"/>
          <w:sz w:val="24"/>
          <w:szCs w:val="24"/>
        </w:rPr>
        <w:t xml:space="preserve">APEC must foster </w:t>
      </w:r>
      <w:r w:rsidR="007426A8" w:rsidRPr="00184CAA">
        <w:rPr>
          <w:rFonts w:ascii="Garamond" w:hAnsi="Garamond"/>
          <w:sz w:val="24"/>
          <w:szCs w:val="24"/>
        </w:rPr>
        <w:t xml:space="preserve">regulatory </w:t>
      </w:r>
      <w:r w:rsidRPr="00184CAA">
        <w:rPr>
          <w:rFonts w:ascii="Garamond" w:hAnsi="Garamond"/>
          <w:sz w:val="24"/>
          <w:szCs w:val="24"/>
        </w:rPr>
        <w:t>coordination</w:t>
      </w:r>
      <w:r w:rsidR="00165522" w:rsidRPr="00184CAA">
        <w:rPr>
          <w:rFonts w:ascii="Garamond" w:hAnsi="Garamond"/>
          <w:sz w:val="24"/>
          <w:szCs w:val="24"/>
        </w:rPr>
        <w:t xml:space="preserve"> </w:t>
      </w:r>
      <w:r w:rsidRPr="00184CAA">
        <w:rPr>
          <w:rFonts w:ascii="Garamond" w:hAnsi="Garamond"/>
          <w:sz w:val="24"/>
          <w:szCs w:val="24"/>
        </w:rPr>
        <w:t>across jurisdictions in order for economies to be effective in regulating and overseeing their markets while not impeding the cross-border economic activity</w:t>
      </w:r>
      <w:r w:rsidR="007426A8" w:rsidRPr="00184CAA">
        <w:rPr>
          <w:rFonts w:ascii="Garamond" w:hAnsi="Garamond"/>
          <w:sz w:val="24"/>
          <w:szCs w:val="24"/>
        </w:rPr>
        <w:t>.</w:t>
      </w:r>
      <w:r w:rsidR="00184CAA" w:rsidRPr="00184CAA">
        <w:rPr>
          <w:rFonts w:ascii="Garamond" w:hAnsi="Garamond"/>
          <w:sz w:val="24"/>
          <w:szCs w:val="24"/>
        </w:rPr>
        <w:t xml:space="preserve"> </w:t>
      </w:r>
      <w:r w:rsidRPr="00184CAA">
        <w:rPr>
          <w:rFonts w:ascii="Garamond" w:hAnsi="Garamond"/>
          <w:sz w:val="24"/>
          <w:szCs w:val="24"/>
        </w:rPr>
        <w:t xml:space="preserve"> </w:t>
      </w:r>
      <w:r w:rsidR="00165522" w:rsidRPr="00184CAA">
        <w:rPr>
          <w:rFonts w:ascii="Garamond" w:hAnsi="Garamond"/>
          <w:sz w:val="24"/>
          <w:szCs w:val="24"/>
        </w:rPr>
        <w:t xml:space="preserve">Establishing frameworks for regular contact and cooperation between regulatory agencies at the national and international level is crucial for the development of high quality regulatory outcomes.  </w:t>
      </w:r>
      <w:r w:rsidR="00184CAA" w:rsidRPr="00184CAA">
        <w:rPr>
          <w:rFonts w:ascii="Garamond" w:hAnsi="Garamond"/>
          <w:sz w:val="24"/>
          <w:szCs w:val="24"/>
        </w:rPr>
        <w:t xml:space="preserve">FTAs and other agreements can create mechanisms for consultation and the resolution of these technical issues. The ultimate intention should be to </w:t>
      </w:r>
      <w:r w:rsidR="00184CAA" w:rsidRPr="00184CAA">
        <w:rPr>
          <w:rFonts w:ascii="Garamond" w:hAnsi="Garamond"/>
          <w:sz w:val="24"/>
          <w:szCs w:val="24"/>
        </w:rPr>
        <w:lastRenderedPageBreak/>
        <w:t>develop mutual understanding of different systems and to build trust.  Sharing this</w:t>
      </w:r>
      <w:r w:rsidR="00184CAA">
        <w:rPr>
          <w:rFonts w:ascii="Garamond" w:hAnsi="Garamond"/>
          <w:sz w:val="24"/>
          <w:szCs w:val="24"/>
        </w:rPr>
        <w:t xml:space="preserve"> </w:t>
      </w:r>
      <w:r w:rsidR="00184CAA" w:rsidRPr="00184CAA">
        <w:rPr>
          <w:rFonts w:ascii="Garamond" w:hAnsi="Garamond"/>
          <w:sz w:val="24"/>
          <w:szCs w:val="24"/>
        </w:rPr>
        <w:t>information and working collaboratively to develop domestic</w:t>
      </w:r>
      <w:r w:rsidR="00184CAA">
        <w:rPr>
          <w:rFonts w:ascii="Garamond" w:hAnsi="Garamond"/>
          <w:sz w:val="24"/>
          <w:szCs w:val="24"/>
        </w:rPr>
        <w:t xml:space="preserve"> regulations</w:t>
      </w:r>
      <w:r w:rsidR="00000ADD" w:rsidRPr="00000ADD">
        <w:rPr>
          <w:rFonts w:ascii="Garamond" w:hAnsi="Garamond"/>
          <w:sz w:val="24"/>
          <w:szCs w:val="24"/>
        </w:rPr>
        <w:t xml:space="preserve"> </w:t>
      </w:r>
      <w:r w:rsidR="00000ADD">
        <w:rPr>
          <w:rFonts w:ascii="Garamond" w:hAnsi="Garamond"/>
          <w:sz w:val="24"/>
          <w:szCs w:val="24"/>
        </w:rPr>
        <w:t>that</w:t>
      </w:r>
      <w:r w:rsidR="00000ADD" w:rsidRPr="00184CAA">
        <w:rPr>
          <w:rFonts w:ascii="Garamond" w:hAnsi="Garamond"/>
          <w:sz w:val="24"/>
          <w:szCs w:val="24"/>
        </w:rPr>
        <w:t xml:space="preserve"> conform to international best practice</w:t>
      </w:r>
      <w:r w:rsidR="00000ADD">
        <w:rPr>
          <w:rFonts w:ascii="Garamond" w:hAnsi="Garamond"/>
          <w:sz w:val="24"/>
          <w:szCs w:val="24"/>
        </w:rPr>
        <w:t>s</w:t>
      </w:r>
      <w:r w:rsidR="00530617">
        <w:rPr>
          <w:rFonts w:ascii="Garamond" w:hAnsi="Garamond"/>
          <w:sz w:val="24"/>
          <w:szCs w:val="24"/>
        </w:rPr>
        <w:t xml:space="preserve">, particularly in new and emerging </w:t>
      </w:r>
      <w:r w:rsidR="00000ADD">
        <w:rPr>
          <w:rFonts w:ascii="Garamond" w:hAnsi="Garamond"/>
          <w:sz w:val="24"/>
          <w:szCs w:val="24"/>
        </w:rPr>
        <w:t>sectors,</w:t>
      </w:r>
      <w:r w:rsidR="00184CAA" w:rsidRPr="00184CAA">
        <w:rPr>
          <w:rFonts w:ascii="Garamond" w:hAnsi="Garamond"/>
          <w:sz w:val="24"/>
          <w:szCs w:val="24"/>
        </w:rPr>
        <w:t xml:space="preserve"> can</w:t>
      </w:r>
      <w:r w:rsidR="00184CAA">
        <w:rPr>
          <w:rFonts w:ascii="Garamond" w:hAnsi="Garamond"/>
          <w:sz w:val="24"/>
          <w:szCs w:val="24"/>
        </w:rPr>
        <w:t xml:space="preserve"> </w:t>
      </w:r>
      <w:r w:rsidR="00184CAA" w:rsidRPr="00184CAA">
        <w:rPr>
          <w:rFonts w:ascii="Garamond" w:hAnsi="Garamond"/>
          <w:sz w:val="24"/>
          <w:szCs w:val="24"/>
        </w:rPr>
        <w:t>facilitate trade while increasing skill levels and knowledge of</w:t>
      </w:r>
      <w:r w:rsidR="00184CAA">
        <w:rPr>
          <w:rFonts w:ascii="Garamond" w:hAnsi="Garamond"/>
          <w:sz w:val="24"/>
          <w:szCs w:val="24"/>
        </w:rPr>
        <w:t xml:space="preserve"> </w:t>
      </w:r>
      <w:r w:rsidR="00184CAA" w:rsidRPr="00184CAA">
        <w:rPr>
          <w:rFonts w:ascii="Garamond" w:hAnsi="Garamond"/>
          <w:sz w:val="24"/>
          <w:szCs w:val="24"/>
        </w:rPr>
        <w:t xml:space="preserve">regulatory institutions globally. </w:t>
      </w:r>
    </w:p>
    <w:p w:rsidR="00CA3395" w:rsidRPr="00A01136" w:rsidRDefault="00CA3395" w:rsidP="00CA3395">
      <w:pPr>
        <w:pStyle w:val="ListParagraph"/>
        <w:ind w:left="360"/>
        <w:rPr>
          <w:rFonts w:ascii="Garamond" w:hAnsi="Garamond"/>
          <w:sz w:val="24"/>
          <w:szCs w:val="24"/>
          <w:u w:val="single"/>
        </w:rPr>
      </w:pPr>
    </w:p>
    <w:p w:rsidR="00464F11" w:rsidRPr="00EF79AE" w:rsidRDefault="00464F11" w:rsidP="00CA3395">
      <w:pPr>
        <w:pStyle w:val="ListParagraph"/>
        <w:numPr>
          <w:ilvl w:val="0"/>
          <w:numId w:val="7"/>
        </w:numPr>
        <w:ind w:left="360"/>
        <w:rPr>
          <w:rFonts w:ascii="Garamond" w:hAnsi="Garamond"/>
          <w:sz w:val="24"/>
          <w:szCs w:val="24"/>
          <w:u w:val="single"/>
        </w:rPr>
      </w:pPr>
      <w:r w:rsidRPr="00EF79AE">
        <w:rPr>
          <w:rFonts w:ascii="Garamond" w:hAnsi="Garamond"/>
          <w:sz w:val="24"/>
          <w:szCs w:val="24"/>
          <w:u w:val="single"/>
        </w:rPr>
        <w:t>Encourag</w:t>
      </w:r>
      <w:r w:rsidR="007F095F" w:rsidRPr="00EF79AE">
        <w:rPr>
          <w:rFonts w:ascii="Garamond" w:hAnsi="Garamond"/>
          <w:sz w:val="24"/>
          <w:szCs w:val="24"/>
          <w:u w:val="single"/>
        </w:rPr>
        <w:t>e</w:t>
      </w:r>
      <w:r w:rsidRPr="00EF79AE">
        <w:rPr>
          <w:rFonts w:ascii="Garamond" w:hAnsi="Garamond"/>
          <w:sz w:val="24"/>
          <w:szCs w:val="24"/>
          <w:u w:val="single"/>
        </w:rPr>
        <w:t xml:space="preserve"> Alternatives to </w:t>
      </w:r>
      <w:r w:rsidR="000C0497" w:rsidRPr="00EF79AE">
        <w:rPr>
          <w:rFonts w:ascii="Garamond" w:hAnsi="Garamond"/>
          <w:sz w:val="24"/>
          <w:szCs w:val="24"/>
          <w:u w:val="single"/>
        </w:rPr>
        <w:t>Prescriptive</w:t>
      </w:r>
      <w:r w:rsidRPr="00EF79AE">
        <w:rPr>
          <w:rFonts w:ascii="Garamond" w:hAnsi="Garamond"/>
          <w:sz w:val="24"/>
          <w:szCs w:val="24"/>
          <w:u w:val="single"/>
        </w:rPr>
        <w:t xml:space="preserve"> Regulation</w:t>
      </w:r>
    </w:p>
    <w:p w:rsidR="00CA3395" w:rsidRPr="00EF79AE" w:rsidRDefault="00CA3395" w:rsidP="00CA3395">
      <w:pPr>
        <w:pStyle w:val="ListParagraph"/>
        <w:ind w:left="360"/>
        <w:rPr>
          <w:rFonts w:ascii="Garamond" w:hAnsi="Garamond"/>
          <w:sz w:val="24"/>
          <w:szCs w:val="24"/>
        </w:rPr>
      </w:pPr>
    </w:p>
    <w:p w:rsidR="00464F11" w:rsidRPr="00EF79AE" w:rsidRDefault="000C0497" w:rsidP="00CA3395">
      <w:pPr>
        <w:pStyle w:val="ListParagraph"/>
        <w:ind w:left="360"/>
        <w:rPr>
          <w:rFonts w:ascii="Garamond" w:hAnsi="Garamond"/>
          <w:sz w:val="24"/>
          <w:szCs w:val="24"/>
        </w:rPr>
      </w:pPr>
      <w:r w:rsidRPr="00142170">
        <w:rPr>
          <w:rFonts w:ascii="Garamond" w:hAnsi="Garamond"/>
          <w:sz w:val="24"/>
          <w:szCs w:val="24"/>
        </w:rPr>
        <w:t>Prescriptive regulations are often</w:t>
      </w:r>
      <w:r w:rsidR="00FC495A" w:rsidRPr="00142170">
        <w:rPr>
          <w:rFonts w:ascii="Garamond" w:hAnsi="Garamond"/>
          <w:sz w:val="24"/>
          <w:szCs w:val="24"/>
        </w:rPr>
        <w:t xml:space="preserve"> standardized or</w:t>
      </w:r>
      <w:r w:rsidR="007F095F" w:rsidRPr="00142170">
        <w:rPr>
          <w:rFonts w:ascii="Garamond" w:hAnsi="Garamond"/>
          <w:sz w:val="24"/>
          <w:szCs w:val="24"/>
        </w:rPr>
        <w:t xml:space="preserve"> </w:t>
      </w:r>
      <w:r w:rsidRPr="00142170">
        <w:rPr>
          <w:rFonts w:ascii="Garamond" w:hAnsi="Garamond"/>
          <w:sz w:val="24"/>
          <w:szCs w:val="24"/>
        </w:rPr>
        <w:t>inflexible</w:t>
      </w:r>
      <w:r w:rsidR="007F095F" w:rsidRPr="00142170">
        <w:rPr>
          <w:rFonts w:ascii="Garamond" w:hAnsi="Garamond"/>
          <w:sz w:val="24"/>
          <w:szCs w:val="24"/>
        </w:rPr>
        <w:t>, and therefore</w:t>
      </w:r>
      <w:r w:rsidRPr="00142170">
        <w:rPr>
          <w:rFonts w:ascii="Garamond" w:hAnsi="Garamond"/>
          <w:sz w:val="24"/>
          <w:szCs w:val="24"/>
        </w:rPr>
        <w:t xml:space="preserve"> may not adequately deal with diverse conditions or with changes over time.  This can result in regulations becoming outdated and even counter</w:t>
      </w:r>
      <w:r w:rsidRPr="00142170">
        <w:rPr>
          <w:rFonts w:ascii="Garamond" w:hAnsi="Garamond"/>
          <w:sz w:val="24"/>
          <w:szCs w:val="24"/>
        </w:rPr>
        <w:noBreakHyphen/>
        <w:t>productive</w:t>
      </w:r>
      <w:r w:rsidR="00FC495A" w:rsidRPr="00142170">
        <w:rPr>
          <w:rFonts w:ascii="Garamond" w:hAnsi="Garamond"/>
          <w:sz w:val="24"/>
          <w:szCs w:val="24"/>
        </w:rPr>
        <w:t xml:space="preserve"> to their regulatory objective</w:t>
      </w:r>
      <w:r w:rsidRPr="00142170">
        <w:rPr>
          <w:rFonts w:ascii="Garamond" w:hAnsi="Garamond"/>
          <w:sz w:val="24"/>
          <w:szCs w:val="24"/>
        </w:rPr>
        <w:t>.  They may also impede technol</w:t>
      </w:r>
      <w:r w:rsidRPr="00C14BF4">
        <w:rPr>
          <w:rFonts w:ascii="Garamond" w:hAnsi="Garamond"/>
          <w:sz w:val="24"/>
          <w:szCs w:val="24"/>
        </w:rPr>
        <w:t xml:space="preserve">ogical progress and innovation.  </w:t>
      </w:r>
      <w:r w:rsidR="00464F11" w:rsidRPr="00C14BF4">
        <w:rPr>
          <w:rFonts w:ascii="Garamond" w:hAnsi="Garamond"/>
          <w:sz w:val="24"/>
          <w:szCs w:val="24"/>
        </w:rPr>
        <w:t>The consideration of regulatory alternatives therefore is an important issue.</w:t>
      </w:r>
      <w:r w:rsidRPr="00C14BF4">
        <w:rPr>
          <w:rFonts w:ascii="Garamond" w:hAnsi="Garamond"/>
          <w:sz w:val="24"/>
          <w:szCs w:val="24"/>
        </w:rPr>
        <w:t xml:space="preserve">  </w:t>
      </w:r>
      <w:r w:rsidR="00464F11" w:rsidRPr="00620E5F">
        <w:rPr>
          <w:rFonts w:ascii="Garamond" w:hAnsi="Garamond"/>
          <w:sz w:val="24"/>
          <w:szCs w:val="24"/>
        </w:rPr>
        <w:t>Whether a prescriptive regulatory approach or an alternativ</w:t>
      </w:r>
      <w:r w:rsidR="00FC495A" w:rsidRPr="00620E5F">
        <w:rPr>
          <w:rFonts w:ascii="Garamond" w:hAnsi="Garamond"/>
          <w:sz w:val="24"/>
          <w:szCs w:val="24"/>
        </w:rPr>
        <w:t xml:space="preserve">e to regulation is adopted, the </w:t>
      </w:r>
      <w:r w:rsidR="00464F11" w:rsidRPr="00620E5F">
        <w:rPr>
          <w:rFonts w:ascii="Garamond" w:hAnsi="Garamond"/>
          <w:sz w:val="24"/>
          <w:szCs w:val="24"/>
        </w:rPr>
        <w:t xml:space="preserve">methods to deal with a perceived problem should ideally have the characteristics of simplicity, </w:t>
      </w:r>
      <w:r w:rsidR="00F74180" w:rsidRPr="00620E5F">
        <w:rPr>
          <w:rFonts w:ascii="Garamond" w:hAnsi="Garamond"/>
          <w:sz w:val="24"/>
          <w:szCs w:val="24"/>
        </w:rPr>
        <w:t>flexibility, efficiency, certainty</w:t>
      </w:r>
      <w:r w:rsidR="00464F11" w:rsidRPr="00620E5F">
        <w:rPr>
          <w:rFonts w:ascii="Garamond" w:hAnsi="Garamond"/>
          <w:sz w:val="24"/>
          <w:szCs w:val="24"/>
        </w:rPr>
        <w:t>,</w:t>
      </w:r>
      <w:r w:rsidR="00F74180" w:rsidRPr="00620E5F">
        <w:rPr>
          <w:rFonts w:ascii="Garamond" w:hAnsi="Garamond"/>
          <w:sz w:val="24"/>
          <w:szCs w:val="24"/>
        </w:rPr>
        <w:t xml:space="preserve"> </w:t>
      </w:r>
      <w:r w:rsidR="00464F11" w:rsidRPr="00620E5F">
        <w:rPr>
          <w:rFonts w:ascii="Garamond" w:hAnsi="Garamond"/>
          <w:sz w:val="24"/>
          <w:szCs w:val="24"/>
        </w:rPr>
        <w:t>equity</w:t>
      </w:r>
      <w:r w:rsidR="00EF79AE">
        <w:rPr>
          <w:rFonts w:ascii="Garamond" w:hAnsi="Garamond"/>
          <w:sz w:val="24"/>
          <w:szCs w:val="24"/>
        </w:rPr>
        <w:t>, and continuous improvement</w:t>
      </w:r>
      <w:r w:rsidR="000C5497">
        <w:rPr>
          <w:rFonts w:ascii="Garamond" w:hAnsi="Garamond"/>
          <w:sz w:val="24"/>
          <w:szCs w:val="24"/>
        </w:rPr>
        <w:t>.</w:t>
      </w:r>
    </w:p>
    <w:p w:rsidR="00CA3395" w:rsidRPr="00142170" w:rsidRDefault="00CA3395" w:rsidP="00CA3395">
      <w:pPr>
        <w:pStyle w:val="ListParagraph"/>
        <w:ind w:left="360"/>
        <w:rPr>
          <w:rFonts w:ascii="Garamond" w:hAnsi="Garamond"/>
          <w:sz w:val="24"/>
          <w:szCs w:val="24"/>
          <w:u w:val="single"/>
        </w:rPr>
      </w:pPr>
    </w:p>
    <w:p w:rsidR="00464F11" w:rsidRPr="00142170" w:rsidRDefault="007F095F" w:rsidP="00CA3395">
      <w:pPr>
        <w:pStyle w:val="ListParagraph"/>
        <w:numPr>
          <w:ilvl w:val="0"/>
          <w:numId w:val="7"/>
        </w:numPr>
        <w:ind w:left="360"/>
        <w:rPr>
          <w:rFonts w:ascii="Garamond" w:hAnsi="Garamond"/>
          <w:sz w:val="24"/>
          <w:szCs w:val="24"/>
          <w:u w:val="single"/>
        </w:rPr>
      </w:pPr>
      <w:r w:rsidRPr="00142170">
        <w:rPr>
          <w:rFonts w:ascii="Garamond" w:hAnsi="Garamond"/>
          <w:sz w:val="24"/>
          <w:szCs w:val="24"/>
          <w:u w:val="single"/>
        </w:rPr>
        <w:t>Promote</w:t>
      </w:r>
      <w:r w:rsidR="00464F11" w:rsidRPr="00142170">
        <w:rPr>
          <w:rFonts w:ascii="Garamond" w:hAnsi="Garamond"/>
          <w:sz w:val="24"/>
          <w:szCs w:val="24"/>
          <w:u w:val="single"/>
        </w:rPr>
        <w:t xml:space="preserve"> Trade Friendly Regulations</w:t>
      </w:r>
    </w:p>
    <w:p w:rsidR="00CA3395" w:rsidRDefault="00CA3395" w:rsidP="00CA3395">
      <w:pPr>
        <w:pStyle w:val="ListParagraph"/>
        <w:ind w:left="360"/>
        <w:rPr>
          <w:rFonts w:ascii="Garamond" w:hAnsi="Garamond"/>
          <w:sz w:val="24"/>
        </w:rPr>
      </w:pPr>
    </w:p>
    <w:p w:rsidR="000C0497" w:rsidRPr="00CA3395" w:rsidRDefault="00AB15D2" w:rsidP="00CA3395">
      <w:pPr>
        <w:pStyle w:val="ListParagraph"/>
        <w:ind w:left="360"/>
        <w:rPr>
          <w:rFonts w:ascii="Garamond" w:hAnsi="Garamond"/>
          <w:sz w:val="24"/>
        </w:rPr>
      </w:pPr>
      <w:r w:rsidRPr="00CA3395">
        <w:rPr>
          <w:rFonts w:ascii="Garamond" w:hAnsi="Garamond"/>
          <w:sz w:val="24"/>
        </w:rPr>
        <w:t>Businesses often face</w:t>
      </w:r>
      <w:r w:rsidR="00464F11" w:rsidRPr="00CA3395">
        <w:rPr>
          <w:rFonts w:ascii="Garamond" w:hAnsi="Garamond"/>
          <w:sz w:val="24"/>
        </w:rPr>
        <w:t xml:space="preserve"> opaque</w:t>
      </w:r>
      <w:r w:rsidR="00037C3A">
        <w:rPr>
          <w:rFonts w:ascii="Garamond" w:hAnsi="Garamond"/>
          <w:sz w:val="24"/>
        </w:rPr>
        <w:t xml:space="preserve"> regulatory processes which can be </w:t>
      </w:r>
      <w:r w:rsidR="00464F11" w:rsidRPr="00CA3395">
        <w:rPr>
          <w:rFonts w:ascii="Garamond" w:hAnsi="Garamond"/>
          <w:sz w:val="24"/>
        </w:rPr>
        <w:t>interpreted without consistency, even within the same regulating authority.</w:t>
      </w:r>
      <w:r w:rsidR="007227B7" w:rsidRPr="00CA3395">
        <w:rPr>
          <w:rFonts w:ascii="Garamond" w:hAnsi="Garamond"/>
          <w:sz w:val="24"/>
        </w:rPr>
        <w:t xml:space="preserve"> </w:t>
      </w:r>
      <w:r w:rsidR="000E1036" w:rsidRPr="00CA3395">
        <w:rPr>
          <w:rFonts w:ascii="Garamond" w:hAnsi="Garamond"/>
          <w:sz w:val="24"/>
        </w:rPr>
        <w:t xml:space="preserve">According to the </w:t>
      </w:r>
      <w:r w:rsidR="000E1036" w:rsidRPr="00CA3395">
        <w:rPr>
          <w:rFonts w:ascii="Garamond" w:hAnsi="Garamond"/>
          <w:i/>
          <w:sz w:val="24"/>
        </w:rPr>
        <w:t xml:space="preserve">2011 Baseline Study </w:t>
      </w:r>
      <w:r w:rsidR="00546C44">
        <w:rPr>
          <w:rFonts w:ascii="Garamond" w:hAnsi="Garamond"/>
          <w:i/>
          <w:sz w:val="24"/>
        </w:rPr>
        <w:t xml:space="preserve">on </w:t>
      </w:r>
      <w:r w:rsidR="000E1036" w:rsidRPr="00CA3395">
        <w:rPr>
          <w:rFonts w:ascii="Garamond" w:hAnsi="Garamond"/>
          <w:i/>
          <w:sz w:val="24"/>
        </w:rPr>
        <w:t xml:space="preserve">Good Regulatory Practices </w:t>
      </w:r>
      <w:r w:rsidR="000E1036" w:rsidRPr="000C5497">
        <w:rPr>
          <w:rFonts w:ascii="Garamond" w:hAnsi="Garamond"/>
          <w:sz w:val="24"/>
        </w:rPr>
        <w:t>in APEC</w:t>
      </w:r>
      <w:r w:rsidR="000E1036" w:rsidRPr="00CA3395">
        <w:rPr>
          <w:rFonts w:ascii="Garamond" w:hAnsi="Garamond"/>
          <w:sz w:val="24"/>
        </w:rPr>
        <w:t>, o</w:t>
      </w:r>
      <w:r w:rsidR="007227B7" w:rsidRPr="00CA3395">
        <w:rPr>
          <w:rFonts w:ascii="Garamond" w:hAnsi="Garamond"/>
          <w:sz w:val="24"/>
        </w:rPr>
        <w:t>nly five APEC economies explicitly include trade impacts in the</w:t>
      </w:r>
      <w:r w:rsidR="00546C44">
        <w:rPr>
          <w:rFonts w:ascii="Garamond" w:hAnsi="Garamond"/>
          <w:sz w:val="24"/>
        </w:rPr>
        <w:t>ir domestic regulatory impact assessments (RIA)</w:t>
      </w:r>
      <w:r w:rsidR="007227B7" w:rsidRPr="00CA3395">
        <w:rPr>
          <w:rFonts w:ascii="Garamond" w:hAnsi="Garamond"/>
          <w:sz w:val="24"/>
        </w:rPr>
        <w:t xml:space="preserve">, and only six economies explicitly include trade officials in consultations on RIA. </w:t>
      </w:r>
      <w:r w:rsidR="000E1036" w:rsidRPr="00CA3395">
        <w:rPr>
          <w:rFonts w:ascii="Garamond" w:hAnsi="Garamond"/>
          <w:sz w:val="24"/>
        </w:rPr>
        <w:t xml:space="preserve"> </w:t>
      </w:r>
      <w:r w:rsidRPr="00CA3395">
        <w:rPr>
          <w:rFonts w:ascii="Garamond" w:hAnsi="Garamond"/>
          <w:sz w:val="24"/>
        </w:rPr>
        <w:t>APEC</w:t>
      </w:r>
      <w:r w:rsidR="00464F11" w:rsidRPr="00CA3395">
        <w:rPr>
          <w:rFonts w:ascii="Garamond" w:hAnsi="Garamond"/>
          <w:sz w:val="24"/>
        </w:rPr>
        <w:t xml:space="preserve"> should promote approaches to regulation and implementation that are trade-friendly, and avoid unnecessary burdens on economic actors by </w:t>
      </w:r>
      <w:r w:rsidR="00620E5F" w:rsidRPr="000C5497">
        <w:rPr>
          <w:rFonts w:ascii="Garamond" w:hAnsi="Garamond"/>
          <w:sz w:val="24"/>
        </w:rPr>
        <w:t>promoting collaboration on regulations for emerging technologies to avoid future divergences</w:t>
      </w:r>
      <w:r w:rsidR="00464F11" w:rsidRPr="00CA3395">
        <w:rPr>
          <w:rFonts w:ascii="Garamond" w:hAnsi="Garamond"/>
          <w:sz w:val="24"/>
        </w:rPr>
        <w:t xml:space="preserve">, doing </w:t>
      </w:r>
      <w:r w:rsidR="006760F7">
        <w:rPr>
          <w:rFonts w:ascii="Garamond" w:hAnsi="Garamond"/>
          <w:sz w:val="24"/>
        </w:rPr>
        <w:t>a</w:t>
      </w:r>
      <w:r w:rsidR="00464F11" w:rsidRPr="00CA3395">
        <w:rPr>
          <w:rFonts w:ascii="Garamond" w:hAnsi="Garamond"/>
          <w:sz w:val="24"/>
        </w:rPr>
        <w:t>way with duplicative or outdated requirements, and embr</w:t>
      </w:r>
      <w:r w:rsidR="000E1036" w:rsidRPr="00CA3395">
        <w:rPr>
          <w:rFonts w:ascii="Garamond" w:hAnsi="Garamond"/>
          <w:sz w:val="24"/>
        </w:rPr>
        <w:t>acing regulatory alternatives.</w:t>
      </w:r>
      <w:r w:rsidR="007227B7" w:rsidRPr="00CA3395">
        <w:rPr>
          <w:rFonts w:ascii="Garamond" w:hAnsi="Garamond"/>
          <w:sz w:val="24"/>
        </w:rPr>
        <w:t xml:space="preserve">  </w:t>
      </w:r>
      <w:r w:rsidR="00F74180" w:rsidRPr="00CA3395">
        <w:rPr>
          <w:rFonts w:ascii="Garamond" w:hAnsi="Garamond"/>
          <w:sz w:val="24"/>
        </w:rPr>
        <w:t xml:space="preserve">Regulatory reviews </w:t>
      </w:r>
      <w:r w:rsidR="00546C44">
        <w:rPr>
          <w:rFonts w:ascii="Garamond" w:hAnsi="Garamond"/>
          <w:sz w:val="24"/>
        </w:rPr>
        <w:t>are an effective tool to address these challenges and</w:t>
      </w:r>
      <w:r w:rsidR="00F74180" w:rsidRPr="00CA3395">
        <w:rPr>
          <w:rFonts w:ascii="Garamond" w:hAnsi="Garamond"/>
          <w:sz w:val="24"/>
        </w:rPr>
        <w:t xml:space="preserve"> reduce the economic burden on businesses.</w:t>
      </w:r>
    </w:p>
    <w:p w:rsidR="007F095F" w:rsidRPr="000C5497" w:rsidRDefault="007F095F">
      <w:pPr>
        <w:rPr>
          <w:rFonts w:ascii="Garamond" w:hAnsi="Garamond"/>
          <w:sz w:val="24"/>
        </w:rPr>
      </w:pPr>
      <w:r w:rsidRPr="00CA3395">
        <w:rPr>
          <w:rFonts w:ascii="Garamond" w:hAnsi="Garamond"/>
          <w:sz w:val="24"/>
        </w:rPr>
        <w:t xml:space="preserve">APEC should continue </w:t>
      </w:r>
      <w:r w:rsidR="00037C3A">
        <w:rPr>
          <w:rFonts w:ascii="Garamond" w:hAnsi="Garamond"/>
          <w:sz w:val="24"/>
        </w:rPr>
        <w:t>to strive for a</w:t>
      </w:r>
      <w:r w:rsidRPr="00CA3395">
        <w:rPr>
          <w:rFonts w:ascii="Garamond" w:hAnsi="Garamond"/>
          <w:sz w:val="24"/>
        </w:rPr>
        <w:t xml:space="preserve"> balanced approach to </w:t>
      </w:r>
      <w:r w:rsidR="00546C44">
        <w:rPr>
          <w:rFonts w:ascii="Garamond" w:hAnsi="Garamond"/>
          <w:sz w:val="24"/>
        </w:rPr>
        <w:t>GRP</w:t>
      </w:r>
      <w:r w:rsidR="00037C3A">
        <w:rPr>
          <w:rFonts w:ascii="Garamond" w:hAnsi="Garamond"/>
          <w:sz w:val="24"/>
        </w:rPr>
        <w:t xml:space="preserve"> that take</w:t>
      </w:r>
      <w:r w:rsidR="00C43150">
        <w:rPr>
          <w:rFonts w:ascii="Garamond" w:hAnsi="Garamond"/>
          <w:sz w:val="24"/>
        </w:rPr>
        <w:t>s</w:t>
      </w:r>
      <w:r w:rsidRPr="00CA3395">
        <w:rPr>
          <w:rFonts w:ascii="Garamond" w:hAnsi="Garamond"/>
          <w:sz w:val="24"/>
        </w:rPr>
        <w:t xml:space="preserve"> into account the benefits that regulation can bring to an economy, </w:t>
      </w:r>
      <w:r w:rsidR="00037C3A">
        <w:rPr>
          <w:rFonts w:ascii="Garamond" w:hAnsi="Garamond"/>
          <w:sz w:val="24"/>
        </w:rPr>
        <w:t>as well as</w:t>
      </w:r>
      <w:r w:rsidRPr="00CA3395">
        <w:rPr>
          <w:rFonts w:ascii="Garamond" w:hAnsi="Garamond"/>
          <w:sz w:val="24"/>
        </w:rPr>
        <w:t xml:space="preserve"> the cost and economic inefficiencies that it ca</w:t>
      </w:r>
      <w:r w:rsidR="00037C3A">
        <w:rPr>
          <w:rFonts w:ascii="Garamond" w:hAnsi="Garamond"/>
          <w:sz w:val="24"/>
        </w:rPr>
        <w:t>n</w:t>
      </w:r>
      <w:r w:rsidRPr="00CA3395">
        <w:rPr>
          <w:rFonts w:ascii="Garamond" w:hAnsi="Garamond"/>
          <w:sz w:val="24"/>
        </w:rPr>
        <w:t xml:space="preserve"> impose. </w:t>
      </w:r>
      <w:r w:rsidR="000C0497" w:rsidRPr="00CA3395">
        <w:rPr>
          <w:rFonts w:ascii="Garamond" w:hAnsi="Garamond"/>
          <w:sz w:val="24"/>
        </w:rPr>
        <w:t xml:space="preserve">It is not </w:t>
      </w:r>
      <w:r w:rsidR="00037C3A">
        <w:rPr>
          <w:rFonts w:ascii="Garamond" w:hAnsi="Garamond"/>
          <w:sz w:val="24"/>
        </w:rPr>
        <w:t>enough</w:t>
      </w:r>
      <w:r w:rsidR="00546C44">
        <w:rPr>
          <w:rFonts w:ascii="Garamond" w:hAnsi="Garamond"/>
          <w:sz w:val="24"/>
        </w:rPr>
        <w:t xml:space="preserve"> to simply implement GRP</w:t>
      </w:r>
      <w:r w:rsidR="00037C3A">
        <w:rPr>
          <w:rFonts w:ascii="Garamond" w:hAnsi="Garamond"/>
          <w:sz w:val="24"/>
        </w:rPr>
        <w:t>;</w:t>
      </w:r>
      <w:r w:rsidR="000C0497" w:rsidRPr="00CA3395">
        <w:rPr>
          <w:rFonts w:ascii="Garamond" w:hAnsi="Garamond"/>
          <w:sz w:val="24"/>
        </w:rPr>
        <w:t xml:space="preserve"> APEC must continue to move beyond general GRP recommendations and reinforce the groundwork of actual implementation. APEC</w:t>
      </w:r>
      <w:r w:rsidR="00546C44">
        <w:rPr>
          <w:rFonts w:ascii="Garamond" w:hAnsi="Garamond"/>
          <w:sz w:val="24"/>
        </w:rPr>
        <w:t xml:space="preserve"> has done extensive work on GRP</w:t>
      </w:r>
      <w:r w:rsidR="000C0497" w:rsidRPr="00CA3395">
        <w:rPr>
          <w:rFonts w:ascii="Garamond" w:hAnsi="Garamond"/>
          <w:sz w:val="24"/>
        </w:rPr>
        <w:t xml:space="preserve">, and should do much more to strengthen the implementation of practical GRP systems that produce efficient and effective results. Ultimately, when implemented properly and in concert with international trading partners, regulations can facilitate the trade of goods and services, encourage competitive economies, and enhance </w:t>
      </w:r>
      <w:r w:rsidR="00021590">
        <w:rPr>
          <w:rFonts w:ascii="Garamond" w:hAnsi="Garamond"/>
          <w:sz w:val="24"/>
        </w:rPr>
        <w:t>the region’s</w:t>
      </w:r>
      <w:r w:rsidR="000C0497" w:rsidRPr="00CA3395">
        <w:rPr>
          <w:rFonts w:ascii="Garamond" w:hAnsi="Garamond"/>
          <w:sz w:val="24"/>
        </w:rPr>
        <w:t xml:space="preserve"> economic growth. </w:t>
      </w:r>
      <w:bookmarkStart w:id="0" w:name="_GoBack"/>
      <w:bookmarkEnd w:id="0"/>
    </w:p>
    <w:sectPr w:rsidR="007F095F" w:rsidRPr="000C5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LTStd-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17F4"/>
    <w:multiLevelType w:val="hybridMultilevel"/>
    <w:tmpl w:val="5C42D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3618C"/>
    <w:multiLevelType w:val="hybridMultilevel"/>
    <w:tmpl w:val="E76A8870"/>
    <w:lvl w:ilvl="0" w:tplc="B6CEA176">
      <w:start w:val="1"/>
      <w:numFmt w:val="bullet"/>
      <w:lvlText w:val="•"/>
      <w:lvlJc w:val="left"/>
      <w:pPr>
        <w:tabs>
          <w:tab w:val="num" w:pos="720"/>
        </w:tabs>
        <w:ind w:left="720" w:hanging="360"/>
      </w:pPr>
      <w:rPr>
        <w:rFonts w:ascii="Arial" w:hAnsi="Arial" w:hint="default"/>
      </w:rPr>
    </w:lvl>
    <w:lvl w:ilvl="1" w:tplc="AD565CB8" w:tentative="1">
      <w:start w:val="1"/>
      <w:numFmt w:val="bullet"/>
      <w:lvlText w:val="•"/>
      <w:lvlJc w:val="left"/>
      <w:pPr>
        <w:tabs>
          <w:tab w:val="num" w:pos="1440"/>
        </w:tabs>
        <w:ind w:left="1440" w:hanging="360"/>
      </w:pPr>
      <w:rPr>
        <w:rFonts w:ascii="Arial" w:hAnsi="Arial" w:hint="default"/>
      </w:rPr>
    </w:lvl>
    <w:lvl w:ilvl="2" w:tplc="71C885F2" w:tentative="1">
      <w:start w:val="1"/>
      <w:numFmt w:val="bullet"/>
      <w:lvlText w:val="•"/>
      <w:lvlJc w:val="left"/>
      <w:pPr>
        <w:tabs>
          <w:tab w:val="num" w:pos="2160"/>
        </w:tabs>
        <w:ind w:left="2160" w:hanging="360"/>
      </w:pPr>
      <w:rPr>
        <w:rFonts w:ascii="Arial" w:hAnsi="Arial" w:hint="default"/>
      </w:rPr>
    </w:lvl>
    <w:lvl w:ilvl="3" w:tplc="FA74C018" w:tentative="1">
      <w:start w:val="1"/>
      <w:numFmt w:val="bullet"/>
      <w:lvlText w:val="•"/>
      <w:lvlJc w:val="left"/>
      <w:pPr>
        <w:tabs>
          <w:tab w:val="num" w:pos="2880"/>
        </w:tabs>
        <w:ind w:left="2880" w:hanging="360"/>
      </w:pPr>
      <w:rPr>
        <w:rFonts w:ascii="Arial" w:hAnsi="Arial" w:hint="default"/>
      </w:rPr>
    </w:lvl>
    <w:lvl w:ilvl="4" w:tplc="E9F4B68C" w:tentative="1">
      <w:start w:val="1"/>
      <w:numFmt w:val="bullet"/>
      <w:lvlText w:val="•"/>
      <w:lvlJc w:val="left"/>
      <w:pPr>
        <w:tabs>
          <w:tab w:val="num" w:pos="3600"/>
        </w:tabs>
        <w:ind w:left="3600" w:hanging="360"/>
      </w:pPr>
      <w:rPr>
        <w:rFonts w:ascii="Arial" w:hAnsi="Arial" w:hint="default"/>
      </w:rPr>
    </w:lvl>
    <w:lvl w:ilvl="5" w:tplc="D0F60F80" w:tentative="1">
      <w:start w:val="1"/>
      <w:numFmt w:val="bullet"/>
      <w:lvlText w:val="•"/>
      <w:lvlJc w:val="left"/>
      <w:pPr>
        <w:tabs>
          <w:tab w:val="num" w:pos="4320"/>
        </w:tabs>
        <w:ind w:left="4320" w:hanging="360"/>
      </w:pPr>
      <w:rPr>
        <w:rFonts w:ascii="Arial" w:hAnsi="Arial" w:hint="default"/>
      </w:rPr>
    </w:lvl>
    <w:lvl w:ilvl="6" w:tplc="1A629E74" w:tentative="1">
      <w:start w:val="1"/>
      <w:numFmt w:val="bullet"/>
      <w:lvlText w:val="•"/>
      <w:lvlJc w:val="left"/>
      <w:pPr>
        <w:tabs>
          <w:tab w:val="num" w:pos="5040"/>
        </w:tabs>
        <w:ind w:left="5040" w:hanging="360"/>
      </w:pPr>
      <w:rPr>
        <w:rFonts w:ascii="Arial" w:hAnsi="Arial" w:hint="default"/>
      </w:rPr>
    </w:lvl>
    <w:lvl w:ilvl="7" w:tplc="5B52B794" w:tentative="1">
      <w:start w:val="1"/>
      <w:numFmt w:val="bullet"/>
      <w:lvlText w:val="•"/>
      <w:lvlJc w:val="left"/>
      <w:pPr>
        <w:tabs>
          <w:tab w:val="num" w:pos="5760"/>
        </w:tabs>
        <w:ind w:left="5760" w:hanging="360"/>
      </w:pPr>
      <w:rPr>
        <w:rFonts w:ascii="Arial" w:hAnsi="Arial" w:hint="default"/>
      </w:rPr>
    </w:lvl>
    <w:lvl w:ilvl="8" w:tplc="26EECBF4" w:tentative="1">
      <w:start w:val="1"/>
      <w:numFmt w:val="bullet"/>
      <w:lvlText w:val="•"/>
      <w:lvlJc w:val="left"/>
      <w:pPr>
        <w:tabs>
          <w:tab w:val="num" w:pos="6480"/>
        </w:tabs>
        <w:ind w:left="6480" w:hanging="360"/>
      </w:pPr>
      <w:rPr>
        <w:rFonts w:ascii="Arial" w:hAnsi="Arial" w:hint="default"/>
      </w:rPr>
    </w:lvl>
  </w:abstractNum>
  <w:abstractNum w:abstractNumId="2">
    <w:nsid w:val="19E21CC3"/>
    <w:multiLevelType w:val="hybridMultilevel"/>
    <w:tmpl w:val="19F2CC84"/>
    <w:lvl w:ilvl="0" w:tplc="8CD2C39E">
      <w:start w:val="1"/>
      <w:numFmt w:val="bullet"/>
      <w:lvlText w:val="•"/>
      <w:lvlJc w:val="left"/>
      <w:pPr>
        <w:tabs>
          <w:tab w:val="num" w:pos="720"/>
        </w:tabs>
        <w:ind w:left="720" w:hanging="360"/>
      </w:pPr>
      <w:rPr>
        <w:rFonts w:ascii="Arial" w:hAnsi="Arial" w:hint="default"/>
      </w:rPr>
    </w:lvl>
    <w:lvl w:ilvl="1" w:tplc="FA1CC1C2" w:tentative="1">
      <w:start w:val="1"/>
      <w:numFmt w:val="bullet"/>
      <w:lvlText w:val="•"/>
      <w:lvlJc w:val="left"/>
      <w:pPr>
        <w:tabs>
          <w:tab w:val="num" w:pos="1440"/>
        </w:tabs>
        <w:ind w:left="1440" w:hanging="360"/>
      </w:pPr>
      <w:rPr>
        <w:rFonts w:ascii="Arial" w:hAnsi="Arial" w:hint="default"/>
      </w:rPr>
    </w:lvl>
    <w:lvl w:ilvl="2" w:tplc="E3168566" w:tentative="1">
      <w:start w:val="1"/>
      <w:numFmt w:val="bullet"/>
      <w:lvlText w:val="•"/>
      <w:lvlJc w:val="left"/>
      <w:pPr>
        <w:tabs>
          <w:tab w:val="num" w:pos="2160"/>
        </w:tabs>
        <w:ind w:left="2160" w:hanging="360"/>
      </w:pPr>
      <w:rPr>
        <w:rFonts w:ascii="Arial" w:hAnsi="Arial" w:hint="default"/>
      </w:rPr>
    </w:lvl>
    <w:lvl w:ilvl="3" w:tplc="23EA4746" w:tentative="1">
      <w:start w:val="1"/>
      <w:numFmt w:val="bullet"/>
      <w:lvlText w:val="•"/>
      <w:lvlJc w:val="left"/>
      <w:pPr>
        <w:tabs>
          <w:tab w:val="num" w:pos="2880"/>
        </w:tabs>
        <w:ind w:left="2880" w:hanging="360"/>
      </w:pPr>
      <w:rPr>
        <w:rFonts w:ascii="Arial" w:hAnsi="Arial" w:hint="default"/>
      </w:rPr>
    </w:lvl>
    <w:lvl w:ilvl="4" w:tplc="D0B407DA" w:tentative="1">
      <w:start w:val="1"/>
      <w:numFmt w:val="bullet"/>
      <w:lvlText w:val="•"/>
      <w:lvlJc w:val="left"/>
      <w:pPr>
        <w:tabs>
          <w:tab w:val="num" w:pos="3600"/>
        </w:tabs>
        <w:ind w:left="3600" w:hanging="360"/>
      </w:pPr>
      <w:rPr>
        <w:rFonts w:ascii="Arial" w:hAnsi="Arial" w:hint="default"/>
      </w:rPr>
    </w:lvl>
    <w:lvl w:ilvl="5" w:tplc="7CE4B57E" w:tentative="1">
      <w:start w:val="1"/>
      <w:numFmt w:val="bullet"/>
      <w:lvlText w:val="•"/>
      <w:lvlJc w:val="left"/>
      <w:pPr>
        <w:tabs>
          <w:tab w:val="num" w:pos="4320"/>
        </w:tabs>
        <w:ind w:left="4320" w:hanging="360"/>
      </w:pPr>
      <w:rPr>
        <w:rFonts w:ascii="Arial" w:hAnsi="Arial" w:hint="default"/>
      </w:rPr>
    </w:lvl>
    <w:lvl w:ilvl="6" w:tplc="2304AEDE" w:tentative="1">
      <w:start w:val="1"/>
      <w:numFmt w:val="bullet"/>
      <w:lvlText w:val="•"/>
      <w:lvlJc w:val="left"/>
      <w:pPr>
        <w:tabs>
          <w:tab w:val="num" w:pos="5040"/>
        </w:tabs>
        <w:ind w:left="5040" w:hanging="360"/>
      </w:pPr>
      <w:rPr>
        <w:rFonts w:ascii="Arial" w:hAnsi="Arial" w:hint="default"/>
      </w:rPr>
    </w:lvl>
    <w:lvl w:ilvl="7" w:tplc="EB140A80" w:tentative="1">
      <w:start w:val="1"/>
      <w:numFmt w:val="bullet"/>
      <w:lvlText w:val="•"/>
      <w:lvlJc w:val="left"/>
      <w:pPr>
        <w:tabs>
          <w:tab w:val="num" w:pos="5760"/>
        </w:tabs>
        <w:ind w:left="5760" w:hanging="360"/>
      </w:pPr>
      <w:rPr>
        <w:rFonts w:ascii="Arial" w:hAnsi="Arial" w:hint="default"/>
      </w:rPr>
    </w:lvl>
    <w:lvl w:ilvl="8" w:tplc="13FAC6B0" w:tentative="1">
      <w:start w:val="1"/>
      <w:numFmt w:val="bullet"/>
      <w:lvlText w:val="•"/>
      <w:lvlJc w:val="left"/>
      <w:pPr>
        <w:tabs>
          <w:tab w:val="num" w:pos="6480"/>
        </w:tabs>
        <w:ind w:left="6480" w:hanging="360"/>
      </w:pPr>
      <w:rPr>
        <w:rFonts w:ascii="Arial" w:hAnsi="Arial" w:hint="default"/>
      </w:rPr>
    </w:lvl>
  </w:abstractNum>
  <w:abstractNum w:abstractNumId="3">
    <w:nsid w:val="1E9E568F"/>
    <w:multiLevelType w:val="hybridMultilevel"/>
    <w:tmpl w:val="F5AE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E4FA4"/>
    <w:multiLevelType w:val="hybridMultilevel"/>
    <w:tmpl w:val="24AADEBE"/>
    <w:lvl w:ilvl="0" w:tplc="B8BC7B62">
      <w:start w:val="1"/>
      <w:numFmt w:val="bullet"/>
      <w:lvlText w:val="•"/>
      <w:lvlJc w:val="left"/>
      <w:pPr>
        <w:tabs>
          <w:tab w:val="num" w:pos="720"/>
        </w:tabs>
        <w:ind w:left="720" w:hanging="360"/>
      </w:pPr>
      <w:rPr>
        <w:rFonts w:ascii="Arial" w:hAnsi="Arial" w:hint="default"/>
      </w:rPr>
    </w:lvl>
    <w:lvl w:ilvl="1" w:tplc="04C8CA12" w:tentative="1">
      <w:start w:val="1"/>
      <w:numFmt w:val="bullet"/>
      <w:lvlText w:val="•"/>
      <w:lvlJc w:val="left"/>
      <w:pPr>
        <w:tabs>
          <w:tab w:val="num" w:pos="1440"/>
        </w:tabs>
        <w:ind w:left="1440" w:hanging="360"/>
      </w:pPr>
      <w:rPr>
        <w:rFonts w:ascii="Arial" w:hAnsi="Arial" w:hint="default"/>
      </w:rPr>
    </w:lvl>
    <w:lvl w:ilvl="2" w:tplc="BBC4C63E" w:tentative="1">
      <w:start w:val="1"/>
      <w:numFmt w:val="bullet"/>
      <w:lvlText w:val="•"/>
      <w:lvlJc w:val="left"/>
      <w:pPr>
        <w:tabs>
          <w:tab w:val="num" w:pos="2160"/>
        </w:tabs>
        <w:ind w:left="2160" w:hanging="360"/>
      </w:pPr>
      <w:rPr>
        <w:rFonts w:ascii="Arial" w:hAnsi="Arial" w:hint="default"/>
      </w:rPr>
    </w:lvl>
    <w:lvl w:ilvl="3" w:tplc="DC7E597A" w:tentative="1">
      <w:start w:val="1"/>
      <w:numFmt w:val="bullet"/>
      <w:lvlText w:val="•"/>
      <w:lvlJc w:val="left"/>
      <w:pPr>
        <w:tabs>
          <w:tab w:val="num" w:pos="2880"/>
        </w:tabs>
        <w:ind w:left="2880" w:hanging="360"/>
      </w:pPr>
      <w:rPr>
        <w:rFonts w:ascii="Arial" w:hAnsi="Arial" w:hint="default"/>
      </w:rPr>
    </w:lvl>
    <w:lvl w:ilvl="4" w:tplc="FAEE085C" w:tentative="1">
      <w:start w:val="1"/>
      <w:numFmt w:val="bullet"/>
      <w:lvlText w:val="•"/>
      <w:lvlJc w:val="left"/>
      <w:pPr>
        <w:tabs>
          <w:tab w:val="num" w:pos="3600"/>
        </w:tabs>
        <w:ind w:left="3600" w:hanging="360"/>
      </w:pPr>
      <w:rPr>
        <w:rFonts w:ascii="Arial" w:hAnsi="Arial" w:hint="default"/>
      </w:rPr>
    </w:lvl>
    <w:lvl w:ilvl="5" w:tplc="13981392" w:tentative="1">
      <w:start w:val="1"/>
      <w:numFmt w:val="bullet"/>
      <w:lvlText w:val="•"/>
      <w:lvlJc w:val="left"/>
      <w:pPr>
        <w:tabs>
          <w:tab w:val="num" w:pos="4320"/>
        </w:tabs>
        <w:ind w:left="4320" w:hanging="360"/>
      </w:pPr>
      <w:rPr>
        <w:rFonts w:ascii="Arial" w:hAnsi="Arial" w:hint="default"/>
      </w:rPr>
    </w:lvl>
    <w:lvl w:ilvl="6" w:tplc="0E461A7C" w:tentative="1">
      <w:start w:val="1"/>
      <w:numFmt w:val="bullet"/>
      <w:lvlText w:val="•"/>
      <w:lvlJc w:val="left"/>
      <w:pPr>
        <w:tabs>
          <w:tab w:val="num" w:pos="5040"/>
        </w:tabs>
        <w:ind w:left="5040" w:hanging="360"/>
      </w:pPr>
      <w:rPr>
        <w:rFonts w:ascii="Arial" w:hAnsi="Arial" w:hint="default"/>
      </w:rPr>
    </w:lvl>
    <w:lvl w:ilvl="7" w:tplc="58E0ED8C" w:tentative="1">
      <w:start w:val="1"/>
      <w:numFmt w:val="bullet"/>
      <w:lvlText w:val="•"/>
      <w:lvlJc w:val="left"/>
      <w:pPr>
        <w:tabs>
          <w:tab w:val="num" w:pos="5760"/>
        </w:tabs>
        <w:ind w:left="5760" w:hanging="360"/>
      </w:pPr>
      <w:rPr>
        <w:rFonts w:ascii="Arial" w:hAnsi="Arial" w:hint="default"/>
      </w:rPr>
    </w:lvl>
    <w:lvl w:ilvl="8" w:tplc="BE7E649A" w:tentative="1">
      <w:start w:val="1"/>
      <w:numFmt w:val="bullet"/>
      <w:lvlText w:val="•"/>
      <w:lvlJc w:val="left"/>
      <w:pPr>
        <w:tabs>
          <w:tab w:val="num" w:pos="6480"/>
        </w:tabs>
        <w:ind w:left="6480" w:hanging="360"/>
      </w:pPr>
      <w:rPr>
        <w:rFonts w:ascii="Arial" w:hAnsi="Arial" w:hint="default"/>
      </w:rPr>
    </w:lvl>
  </w:abstractNum>
  <w:abstractNum w:abstractNumId="5">
    <w:nsid w:val="53F64B7D"/>
    <w:multiLevelType w:val="hybridMultilevel"/>
    <w:tmpl w:val="943A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111EFF"/>
    <w:multiLevelType w:val="hybridMultilevel"/>
    <w:tmpl w:val="B11034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11"/>
    <w:rsid w:val="00000ADD"/>
    <w:rsid w:val="00021590"/>
    <w:rsid w:val="00037C3A"/>
    <w:rsid w:val="000C0497"/>
    <w:rsid w:val="000C5497"/>
    <w:rsid w:val="000E1036"/>
    <w:rsid w:val="00142170"/>
    <w:rsid w:val="00145D49"/>
    <w:rsid w:val="00147E74"/>
    <w:rsid w:val="00165522"/>
    <w:rsid w:val="00184CAA"/>
    <w:rsid w:val="00201883"/>
    <w:rsid w:val="002B0A3A"/>
    <w:rsid w:val="00326822"/>
    <w:rsid w:val="003B6E45"/>
    <w:rsid w:val="00464F11"/>
    <w:rsid w:val="00530617"/>
    <w:rsid w:val="00536288"/>
    <w:rsid w:val="00546C44"/>
    <w:rsid w:val="005D1C90"/>
    <w:rsid w:val="00620E5F"/>
    <w:rsid w:val="006760F7"/>
    <w:rsid w:val="00713B04"/>
    <w:rsid w:val="007227B7"/>
    <w:rsid w:val="007426A8"/>
    <w:rsid w:val="007F095F"/>
    <w:rsid w:val="008346D9"/>
    <w:rsid w:val="00840BAE"/>
    <w:rsid w:val="008C129E"/>
    <w:rsid w:val="009108BF"/>
    <w:rsid w:val="00A01136"/>
    <w:rsid w:val="00AB15D2"/>
    <w:rsid w:val="00B95640"/>
    <w:rsid w:val="00BA20DF"/>
    <w:rsid w:val="00C14BF4"/>
    <w:rsid w:val="00C43150"/>
    <w:rsid w:val="00C83A86"/>
    <w:rsid w:val="00CA3395"/>
    <w:rsid w:val="00CE1F5A"/>
    <w:rsid w:val="00D713A4"/>
    <w:rsid w:val="00DC4810"/>
    <w:rsid w:val="00DF7265"/>
    <w:rsid w:val="00E477EA"/>
    <w:rsid w:val="00E51563"/>
    <w:rsid w:val="00EF79AE"/>
    <w:rsid w:val="00F74180"/>
    <w:rsid w:val="00FC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0497"/>
    <w:pPr>
      <w:spacing w:before="200"/>
      <w:ind w:left="720"/>
      <w:contextualSpacing/>
    </w:pPr>
    <w:rPr>
      <w:rFonts w:eastAsiaTheme="minorEastAsia"/>
      <w:sz w:val="20"/>
      <w:szCs w:val="20"/>
    </w:rPr>
  </w:style>
  <w:style w:type="paragraph" w:styleId="BalloonText">
    <w:name w:val="Balloon Text"/>
    <w:basedOn w:val="Normal"/>
    <w:link w:val="BalloonTextChar"/>
    <w:uiPriority w:val="99"/>
    <w:semiHidden/>
    <w:unhideWhenUsed/>
    <w:rsid w:val="00C43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150"/>
    <w:rPr>
      <w:rFonts w:ascii="Tahoma" w:hAnsi="Tahoma" w:cs="Tahoma"/>
      <w:sz w:val="16"/>
      <w:szCs w:val="16"/>
    </w:rPr>
  </w:style>
  <w:style w:type="character" w:customStyle="1" w:styleId="apple-converted-space">
    <w:name w:val="apple-converted-space"/>
    <w:basedOn w:val="DefaultParagraphFont"/>
    <w:rsid w:val="008C129E"/>
  </w:style>
  <w:style w:type="character" w:styleId="CommentReference">
    <w:name w:val="annotation reference"/>
    <w:basedOn w:val="DefaultParagraphFont"/>
    <w:uiPriority w:val="99"/>
    <w:semiHidden/>
    <w:unhideWhenUsed/>
    <w:rsid w:val="00EF79AE"/>
    <w:rPr>
      <w:sz w:val="16"/>
      <w:szCs w:val="16"/>
    </w:rPr>
  </w:style>
  <w:style w:type="paragraph" w:styleId="CommentText">
    <w:name w:val="annotation text"/>
    <w:basedOn w:val="Normal"/>
    <w:link w:val="CommentTextChar"/>
    <w:uiPriority w:val="99"/>
    <w:semiHidden/>
    <w:unhideWhenUsed/>
    <w:rsid w:val="00EF79AE"/>
    <w:pPr>
      <w:spacing w:line="240" w:lineRule="auto"/>
    </w:pPr>
    <w:rPr>
      <w:sz w:val="20"/>
      <w:szCs w:val="20"/>
    </w:rPr>
  </w:style>
  <w:style w:type="character" w:customStyle="1" w:styleId="CommentTextChar">
    <w:name w:val="Comment Text Char"/>
    <w:basedOn w:val="DefaultParagraphFont"/>
    <w:link w:val="CommentText"/>
    <w:uiPriority w:val="99"/>
    <w:semiHidden/>
    <w:rsid w:val="00EF79AE"/>
    <w:rPr>
      <w:sz w:val="20"/>
      <w:szCs w:val="20"/>
    </w:rPr>
  </w:style>
  <w:style w:type="paragraph" w:styleId="CommentSubject">
    <w:name w:val="annotation subject"/>
    <w:basedOn w:val="CommentText"/>
    <w:next w:val="CommentText"/>
    <w:link w:val="CommentSubjectChar"/>
    <w:uiPriority w:val="99"/>
    <w:semiHidden/>
    <w:unhideWhenUsed/>
    <w:rsid w:val="00EF79AE"/>
    <w:rPr>
      <w:b/>
      <w:bCs/>
    </w:rPr>
  </w:style>
  <w:style w:type="character" w:customStyle="1" w:styleId="CommentSubjectChar">
    <w:name w:val="Comment Subject Char"/>
    <w:basedOn w:val="CommentTextChar"/>
    <w:link w:val="CommentSubject"/>
    <w:uiPriority w:val="99"/>
    <w:semiHidden/>
    <w:rsid w:val="00EF79A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0497"/>
    <w:pPr>
      <w:spacing w:before="200"/>
      <w:ind w:left="720"/>
      <w:contextualSpacing/>
    </w:pPr>
    <w:rPr>
      <w:rFonts w:eastAsiaTheme="minorEastAsia"/>
      <w:sz w:val="20"/>
      <w:szCs w:val="20"/>
    </w:rPr>
  </w:style>
  <w:style w:type="paragraph" w:styleId="BalloonText">
    <w:name w:val="Balloon Text"/>
    <w:basedOn w:val="Normal"/>
    <w:link w:val="BalloonTextChar"/>
    <w:uiPriority w:val="99"/>
    <w:semiHidden/>
    <w:unhideWhenUsed/>
    <w:rsid w:val="00C43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150"/>
    <w:rPr>
      <w:rFonts w:ascii="Tahoma" w:hAnsi="Tahoma" w:cs="Tahoma"/>
      <w:sz w:val="16"/>
      <w:szCs w:val="16"/>
    </w:rPr>
  </w:style>
  <w:style w:type="character" w:customStyle="1" w:styleId="apple-converted-space">
    <w:name w:val="apple-converted-space"/>
    <w:basedOn w:val="DefaultParagraphFont"/>
    <w:rsid w:val="008C129E"/>
  </w:style>
  <w:style w:type="character" w:styleId="CommentReference">
    <w:name w:val="annotation reference"/>
    <w:basedOn w:val="DefaultParagraphFont"/>
    <w:uiPriority w:val="99"/>
    <w:semiHidden/>
    <w:unhideWhenUsed/>
    <w:rsid w:val="00EF79AE"/>
    <w:rPr>
      <w:sz w:val="16"/>
      <w:szCs w:val="16"/>
    </w:rPr>
  </w:style>
  <w:style w:type="paragraph" w:styleId="CommentText">
    <w:name w:val="annotation text"/>
    <w:basedOn w:val="Normal"/>
    <w:link w:val="CommentTextChar"/>
    <w:uiPriority w:val="99"/>
    <w:semiHidden/>
    <w:unhideWhenUsed/>
    <w:rsid w:val="00EF79AE"/>
    <w:pPr>
      <w:spacing w:line="240" w:lineRule="auto"/>
    </w:pPr>
    <w:rPr>
      <w:sz w:val="20"/>
      <w:szCs w:val="20"/>
    </w:rPr>
  </w:style>
  <w:style w:type="character" w:customStyle="1" w:styleId="CommentTextChar">
    <w:name w:val="Comment Text Char"/>
    <w:basedOn w:val="DefaultParagraphFont"/>
    <w:link w:val="CommentText"/>
    <w:uiPriority w:val="99"/>
    <w:semiHidden/>
    <w:rsid w:val="00EF79AE"/>
    <w:rPr>
      <w:sz w:val="20"/>
      <w:szCs w:val="20"/>
    </w:rPr>
  </w:style>
  <w:style w:type="paragraph" w:styleId="CommentSubject">
    <w:name w:val="annotation subject"/>
    <w:basedOn w:val="CommentText"/>
    <w:next w:val="CommentText"/>
    <w:link w:val="CommentSubjectChar"/>
    <w:uiPriority w:val="99"/>
    <w:semiHidden/>
    <w:unhideWhenUsed/>
    <w:rsid w:val="00EF79AE"/>
    <w:rPr>
      <w:b/>
      <w:bCs/>
    </w:rPr>
  </w:style>
  <w:style w:type="character" w:customStyle="1" w:styleId="CommentSubjectChar">
    <w:name w:val="Comment Subject Char"/>
    <w:basedOn w:val="CommentTextChar"/>
    <w:link w:val="CommentSubject"/>
    <w:uiPriority w:val="99"/>
    <w:semiHidden/>
    <w:rsid w:val="00EF79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7571">
      <w:bodyDiv w:val="1"/>
      <w:marLeft w:val="0"/>
      <w:marRight w:val="0"/>
      <w:marTop w:val="0"/>
      <w:marBottom w:val="0"/>
      <w:divBdr>
        <w:top w:val="none" w:sz="0" w:space="0" w:color="auto"/>
        <w:left w:val="none" w:sz="0" w:space="0" w:color="auto"/>
        <w:bottom w:val="none" w:sz="0" w:space="0" w:color="auto"/>
        <w:right w:val="none" w:sz="0" w:space="0" w:color="auto"/>
      </w:divBdr>
      <w:divsChild>
        <w:div w:id="222178057">
          <w:marLeft w:val="274"/>
          <w:marRight w:val="0"/>
          <w:marTop w:val="0"/>
          <w:marBottom w:val="0"/>
          <w:divBdr>
            <w:top w:val="none" w:sz="0" w:space="0" w:color="auto"/>
            <w:left w:val="none" w:sz="0" w:space="0" w:color="auto"/>
            <w:bottom w:val="none" w:sz="0" w:space="0" w:color="auto"/>
            <w:right w:val="none" w:sz="0" w:space="0" w:color="auto"/>
          </w:divBdr>
        </w:div>
        <w:div w:id="1517691616">
          <w:marLeft w:val="274"/>
          <w:marRight w:val="0"/>
          <w:marTop w:val="0"/>
          <w:marBottom w:val="0"/>
          <w:divBdr>
            <w:top w:val="none" w:sz="0" w:space="0" w:color="auto"/>
            <w:left w:val="none" w:sz="0" w:space="0" w:color="auto"/>
            <w:bottom w:val="none" w:sz="0" w:space="0" w:color="auto"/>
            <w:right w:val="none" w:sz="0" w:space="0" w:color="auto"/>
          </w:divBdr>
        </w:div>
      </w:divsChild>
    </w:div>
    <w:div w:id="293298584">
      <w:bodyDiv w:val="1"/>
      <w:marLeft w:val="0"/>
      <w:marRight w:val="0"/>
      <w:marTop w:val="0"/>
      <w:marBottom w:val="0"/>
      <w:divBdr>
        <w:top w:val="none" w:sz="0" w:space="0" w:color="auto"/>
        <w:left w:val="none" w:sz="0" w:space="0" w:color="auto"/>
        <w:bottom w:val="none" w:sz="0" w:space="0" w:color="auto"/>
        <w:right w:val="none" w:sz="0" w:space="0" w:color="auto"/>
      </w:divBdr>
      <w:divsChild>
        <w:div w:id="954556012">
          <w:marLeft w:val="274"/>
          <w:marRight w:val="0"/>
          <w:marTop w:val="0"/>
          <w:marBottom w:val="0"/>
          <w:divBdr>
            <w:top w:val="none" w:sz="0" w:space="0" w:color="auto"/>
            <w:left w:val="none" w:sz="0" w:space="0" w:color="auto"/>
            <w:bottom w:val="none" w:sz="0" w:space="0" w:color="auto"/>
            <w:right w:val="none" w:sz="0" w:space="0" w:color="auto"/>
          </w:divBdr>
        </w:div>
        <w:div w:id="1810584732">
          <w:marLeft w:val="274"/>
          <w:marRight w:val="0"/>
          <w:marTop w:val="0"/>
          <w:marBottom w:val="0"/>
          <w:divBdr>
            <w:top w:val="none" w:sz="0" w:space="0" w:color="auto"/>
            <w:left w:val="none" w:sz="0" w:space="0" w:color="auto"/>
            <w:bottom w:val="none" w:sz="0" w:space="0" w:color="auto"/>
            <w:right w:val="none" w:sz="0" w:space="0" w:color="auto"/>
          </w:divBdr>
        </w:div>
        <w:div w:id="1232228111">
          <w:marLeft w:val="274"/>
          <w:marRight w:val="0"/>
          <w:marTop w:val="0"/>
          <w:marBottom w:val="0"/>
          <w:divBdr>
            <w:top w:val="none" w:sz="0" w:space="0" w:color="auto"/>
            <w:left w:val="none" w:sz="0" w:space="0" w:color="auto"/>
            <w:bottom w:val="none" w:sz="0" w:space="0" w:color="auto"/>
            <w:right w:val="none" w:sz="0" w:space="0" w:color="auto"/>
          </w:divBdr>
        </w:div>
        <w:div w:id="1733427485">
          <w:marLeft w:val="274"/>
          <w:marRight w:val="0"/>
          <w:marTop w:val="0"/>
          <w:marBottom w:val="0"/>
          <w:divBdr>
            <w:top w:val="none" w:sz="0" w:space="0" w:color="auto"/>
            <w:left w:val="none" w:sz="0" w:space="0" w:color="auto"/>
            <w:bottom w:val="none" w:sz="0" w:space="0" w:color="auto"/>
            <w:right w:val="none" w:sz="0" w:space="0" w:color="auto"/>
          </w:divBdr>
        </w:div>
        <w:div w:id="84500741">
          <w:marLeft w:val="274"/>
          <w:marRight w:val="0"/>
          <w:marTop w:val="0"/>
          <w:marBottom w:val="0"/>
          <w:divBdr>
            <w:top w:val="none" w:sz="0" w:space="0" w:color="auto"/>
            <w:left w:val="none" w:sz="0" w:space="0" w:color="auto"/>
            <w:bottom w:val="none" w:sz="0" w:space="0" w:color="auto"/>
            <w:right w:val="none" w:sz="0" w:space="0" w:color="auto"/>
          </w:divBdr>
        </w:div>
      </w:divsChild>
    </w:div>
    <w:div w:id="1012412517">
      <w:bodyDiv w:val="1"/>
      <w:marLeft w:val="0"/>
      <w:marRight w:val="0"/>
      <w:marTop w:val="0"/>
      <w:marBottom w:val="0"/>
      <w:divBdr>
        <w:top w:val="none" w:sz="0" w:space="0" w:color="auto"/>
        <w:left w:val="none" w:sz="0" w:space="0" w:color="auto"/>
        <w:bottom w:val="none" w:sz="0" w:space="0" w:color="auto"/>
        <w:right w:val="none" w:sz="0" w:space="0" w:color="auto"/>
      </w:divBdr>
      <w:divsChild>
        <w:div w:id="1628782828">
          <w:marLeft w:val="274"/>
          <w:marRight w:val="0"/>
          <w:marTop w:val="0"/>
          <w:marBottom w:val="0"/>
          <w:divBdr>
            <w:top w:val="none" w:sz="0" w:space="0" w:color="auto"/>
            <w:left w:val="none" w:sz="0" w:space="0" w:color="auto"/>
            <w:bottom w:val="none" w:sz="0" w:space="0" w:color="auto"/>
            <w:right w:val="none" w:sz="0" w:space="0" w:color="auto"/>
          </w:divBdr>
        </w:div>
        <w:div w:id="128674376">
          <w:marLeft w:val="274"/>
          <w:marRight w:val="0"/>
          <w:marTop w:val="0"/>
          <w:marBottom w:val="0"/>
          <w:divBdr>
            <w:top w:val="none" w:sz="0" w:space="0" w:color="auto"/>
            <w:left w:val="none" w:sz="0" w:space="0" w:color="auto"/>
            <w:bottom w:val="none" w:sz="0" w:space="0" w:color="auto"/>
            <w:right w:val="none" w:sz="0" w:space="0" w:color="auto"/>
          </w:divBdr>
        </w:div>
        <w:div w:id="736171352">
          <w:marLeft w:val="274"/>
          <w:marRight w:val="0"/>
          <w:marTop w:val="0"/>
          <w:marBottom w:val="0"/>
          <w:divBdr>
            <w:top w:val="none" w:sz="0" w:space="0" w:color="auto"/>
            <w:left w:val="none" w:sz="0" w:space="0" w:color="auto"/>
            <w:bottom w:val="none" w:sz="0" w:space="0" w:color="auto"/>
            <w:right w:val="none" w:sz="0" w:space="0" w:color="auto"/>
          </w:divBdr>
        </w:div>
        <w:div w:id="1729036527">
          <w:marLeft w:val="274"/>
          <w:marRight w:val="0"/>
          <w:marTop w:val="0"/>
          <w:marBottom w:val="0"/>
          <w:divBdr>
            <w:top w:val="none" w:sz="0" w:space="0" w:color="auto"/>
            <w:left w:val="none" w:sz="0" w:space="0" w:color="auto"/>
            <w:bottom w:val="none" w:sz="0" w:space="0" w:color="auto"/>
            <w:right w:val="none" w:sz="0" w:space="0" w:color="auto"/>
          </w:divBdr>
        </w:div>
        <w:div w:id="404644359">
          <w:marLeft w:val="274"/>
          <w:marRight w:val="0"/>
          <w:marTop w:val="0"/>
          <w:marBottom w:val="0"/>
          <w:divBdr>
            <w:top w:val="none" w:sz="0" w:space="0" w:color="auto"/>
            <w:left w:val="none" w:sz="0" w:space="0" w:color="auto"/>
            <w:bottom w:val="none" w:sz="0" w:space="0" w:color="auto"/>
            <w:right w:val="none" w:sz="0" w:space="0" w:color="auto"/>
          </w:divBdr>
        </w:div>
        <w:div w:id="414712897">
          <w:marLeft w:val="274"/>
          <w:marRight w:val="0"/>
          <w:marTop w:val="0"/>
          <w:marBottom w:val="0"/>
          <w:divBdr>
            <w:top w:val="none" w:sz="0" w:space="0" w:color="auto"/>
            <w:left w:val="none" w:sz="0" w:space="0" w:color="auto"/>
            <w:bottom w:val="none" w:sz="0" w:space="0" w:color="auto"/>
            <w:right w:val="none" w:sz="0" w:space="0" w:color="auto"/>
          </w:divBdr>
        </w:div>
      </w:divsChild>
    </w:div>
    <w:div w:id="1453286020">
      <w:bodyDiv w:val="1"/>
      <w:marLeft w:val="0"/>
      <w:marRight w:val="0"/>
      <w:marTop w:val="0"/>
      <w:marBottom w:val="0"/>
      <w:divBdr>
        <w:top w:val="none" w:sz="0" w:space="0" w:color="auto"/>
        <w:left w:val="none" w:sz="0" w:space="0" w:color="auto"/>
        <w:bottom w:val="none" w:sz="0" w:space="0" w:color="auto"/>
        <w:right w:val="none" w:sz="0" w:space="0" w:color="auto"/>
      </w:divBdr>
    </w:div>
    <w:div w:id="185522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Underwriters Laboratories Inc.</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Fiddick</dc:creator>
  <cp:lastModifiedBy>Robert Fiddick</cp:lastModifiedBy>
  <cp:revision>3</cp:revision>
  <cp:lastPrinted>2013-07-25T21:57:00Z</cp:lastPrinted>
  <dcterms:created xsi:type="dcterms:W3CDTF">2013-09-18T20:44:00Z</dcterms:created>
  <dcterms:modified xsi:type="dcterms:W3CDTF">2013-09-18T20:49:00Z</dcterms:modified>
</cp:coreProperties>
</file>